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E488" w14:textId="77777777" w:rsidR="00002990" w:rsidRPr="003072C6" w:rsidRDefault="00417CC6" w:rsidP="00A55989">
      <w:pPr>
        <w:pStyle w:val="DHHSbodynospace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36734" behindDoc="1" locked="1" layoutInCell="0" allowOverlap="1" wp14:anchorId="0548EF0D" wp14:editId="45DB0C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699200"/>
            <wp:effectExtent l="0" t="0" r="0" b="6985"/>
            <wp:wrapNone/>
            <wp:docPr id="100" name="Picture 99" descr="Victoria State Government - Victorian Health and Human Services Building Authority - Sustainability in Healt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ictoria State Government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5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</w:tblGrid>
      <w:tr w:rsidR="001817CD" w:rsidRPr="003072C6" w14:paraId="1DBCA6B3" w14:textId="77777777" w:rsidTr="00126787">
        <w:trPr>
          <w:trHeight w:val="2851"/>
        </w:trPr>
        <w:tc>
          <w:tcPr>
            <w:tcW w:w="7258" w:type="dxa"/>
            <w:shd w:val="clear" w:color="auto" w:fill="auto"/>
            <w:vAlign w:val="center"/>
          </w:tcPr>
          <w:p w14:paraId="3CF0EF7A" w14:textId="43FB2240" w:rsidR="00060C7A" w:rsidRPr="00871F0C" w:rsidRDefault="00835E70" w:rsidP="00060C7A">
            <w:pPr>
              <w:pStyle w:val="DHHSreportmaintitlewhite"/>
            </w:pPr>
            <w:r>
              <w:rPr>
                <w:caps w:val="0"/>
              </w:rPr>
              <w:t>Environmental sustainability strategy</w:t>
            </w:r>
          </w:p>
          <w:p w14:paraId="021FEC66" w14:textId="66ABE448" w:rsidR="00444D82" w:rsidRPr="008E57B2" w:rsidRDefault="008179CA" w:rsidP="008F4A1C">
            <w:pPr>
              <w:pStyle w:val="DHHSreportsubtitlewhite"/>
            </w:pPr>
            <w:r>
              <w:t>Progress report</w:t>
            </w:r>
            <w:r w:rsidR="004C4651">
              <w:t>,</w:t>
            </w:r>
            <w:r w:rsidR="005E5C86">
              <w:t xml:space="preserve"> </w:t>
            </w:r>
            <w:r w:rsidR="001C3C88">
              <w:t>28</w:t>
            </w:r>
            <w:r w:rsidR="00C10B07">
              <w:t xml:space="preserve"> </w:t>
            </w:r>
            <w:r w:rsidR="001C3C88">
              <w:t>Febr</w:t>
            </w:r>
            <w:r w:rsidR="00C10B07">
              <w:t>uary</w:t>
            </w:r>
            <w:r w:rsidR="005E5C86">
              <w:t xml:space="preserve"> 2019</w:t>
            </w:r>
          </w:p>
        </w:tc>
      </w:tr>
      <w:tr w:rsidR="003822A7" w:rsidRPr="003072C6" w14:paraId="533F7CAE" w14:textId="77777777" w:rsidTr="00126787">
        <w:tc>
          <w:tcPr>
            <w:tcW w:w="7258" w:type="dxa"/>
            <w:shd w:val="clear" w:color="auto" w:fill="auto"/>
          </w:tcPr>
          <w:p w14:paraId="6953E9DC" w14:textId="77777777" w:rsidR="003822A7" w:rsidRPr="003072C6" w:rsidRDefault="003822A7" w:rsidP="003822A7">
            <w:pPr>
              <w:pStyle w:val="DHHSbody"/>
            </w:pPr>
          </w:p>
        </w:tc>
      </w:tr>
    </w:tbl>
    <w:p w14:paraId="459EFE4C" w14:textId="77777777" w:rsidR="0069374A" w:rsidRPr="00B2614A" w:rsidRDefault="0069374A" w:rsidP="00B2614A">
      <w:pPr>
        <w:pStyle w:val="DHHSbody"/>
      </w:pPr>
    </w:p>
    <w:p w14:paraId="7F8E7057" w14:textId="77777777" w:rsidR="00C51B1C" w:rsidRPr="00B2614A" w:rsidRDefault="00C51B1C" w:rsidP="00B2614A">
      <w:pPr>
        <w:pStyle w:val="DHHSbody"/>
        <w:sectPr w:rsidR="00C51B1C" w:rsidRPr="00B2614A" w:rsidSect="00050C2F">
          <w:type w:val="oddPage"/>
          <w:pgSz w:w="11906" w:h="16838"/>
          <w:pgMar w:top="3175" w:right="1304" w:bottom="1134" w:left="1928" w:header="454" w:footer="567" w:gutter="0"/>
          <w:cols w:space="720"/>
          <w:docGrid w:linePitch="360"/>
        </w:sectPr>
      </w:pPr>
    </w:p>
    <w:p w14:paraId="1678A56E" w14:textId="77777777" w:rsidR="00256E7C" w:rsidRPr="00256E7C" w:rsidRDefault="00256E7C" w:rsidP="0005633B">
      <w:pPr>
        <w:pStyle w:val="Coverinstructions"/>
      </w:pPr>
      <w:r w:rsidRPr="00256E7C">
        <w:br w:type="page"/>
      </w:r>
    </w:p>
    <w:tbl>
      <w:tblPr>
        <w:tblW w:w="0" w:type="auto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</w:tblGrid>
      <w:tr w:rsidR="002E70D9" w:rsidRPr="003072C6" w14:paraId="5E80C761" w14:textId="77777777" w:rsidTr="00C75633">
        <w:trPr>
          <w:trHeight w:val="7402"/>
        </w:trPr>
        <w:tc>
          <w:tcPr>
            <w:tcW w:w="7597" w:type="dxa"/>
            <w:shd w:val="clear" w:color="auto" w:fill="auto"/>
            <w:vAlign w:val="center"/>
          </w:tcPr>
          <w:p w14:paraId="2D6F2F20" w14:textId="7458F079" w:rsidR="002E70D9" w:rsidRPr="00711B0C" w:rsidRDefault="002E70D9" w:rsidP="00C75633">
            <w:pPr>
              <w:pStyle w:val="DHHSreportmaintitle"/>
            </w:pPr>
            <w:r>
              <w:lastRenderedPageBreak/>
              <w:t>Environmental sustainability strategy</w:t>
            </w:r>
          </w:p>
          <w:p w14:paraId="1D6FA104" w14:textId="6B618781" w:rsidR="002E70D9" w:rsidRPr="003072C6" w:rsidRDefault="00C10B07" w:rsidP="00452E58">
            <w:pPr>
              <w:pStyle w:val="DHHSreportsubtitle"/>
            </w:pPr>
            <w:r>
              <w:t>Progress report</w:t>
            </w:r>
            <w:r w:rsidR="004C4651">
              <w:t>,</w:t>
            </w:r>
            <w:r>
              <w:t xml:space="preserve"> </w:t>
            </w:r>
            <w:r w:rsidR="001C3C88">
              <w:t>28</w:t>
            </w:r>
            <w:r>
              <w:t xml:space="preserve"> </w:t>
            </w:r>
            <w:r w:rsidR="001C3C88">
              <w:t>Febr</w:t>
            </w:r>
            <w:r>
              <w:t>uary 20</w:t>
            </w:r>
            <w:r w:rsidR="00BA7D8E">
              <w:t>19</w:t>
            </w:r>
          </w:p>
        </w:tc>
      </w:tr>
      <w:tr w:rsidR="002E70D9" w:rsidRPr="003072C6" w14:paraId="473FBE75" w14:textId="77777777" w:rsidTr="00C75633">
        <w:tc>
          <w:tcPr>
            <w:tcW w:w="7597" w:type="dxa"/>
            <w:shd w:val="clear" w:color="auto" w:fill="auto"/>
            <w:vAlign w:val="center"/>
          </w:tcPr>
          <w:p w14:paraId="0D6DC589" w14:textId="77777777" w:rsidR="002E70D9" w:rsidRPr="003072C6" w:rsidRDefault="002E70D9" w:rsidP="00C75633">
            <w:pPr>
              <w:pStyle w:val="DHHSbody"/>
            </w:pPr>
          </w:p>
        </w:tc>
      </w:tr>
    </w:tbl>
    <w:p w14:paraId="737A765A" w14:textId="77777777" w:rsidR="002E70D9" w:rsidRPr="003072C6" w:rsidRDefault="002E70D9" w:rsidP="002E70D9">
      <w:pPr>
        <w:pStyle w:val="DHHSbodynospace"/>
      </w:pPr>
      <w:r w:rsidRPr="003072C6">
        <w:br w:type="page"/>
      </w:r>
    </w:p>
    <w:tbl>
      <w:tblPr>
        <w:tblW w:w="0" w:type="auto"/>
        <w:tblCellMar>
          <w:top w:w="113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9298"/>
      </w:tblGrid>
      <w:tr w:rsidR="002E70D9" w:rsidRPr="003072C6" w14:paraId="7F10CB98" w14:textId="77777777" w:rsidTr="00C75633">
        <w:trPr>
          <w:trHeight w:val="4313"/>
        </w:trPr>
        <w:tc>
          <w:tcPr>
            <w:tcW w:w="9298" w:type="dxa"/>
          </w:tcPr>
          <w:p w14:paraId="3C1B5175" w14:textId="77777777" w:rsidR="002E70D9" w:rsidRPr="007874C8" w:rsidRDefault="002E70D9" w:rsidP="00C75633">
            <w:pPr>
              <w:pStyle w:val="DHHSbody"/>
              <w:rPr>
                <w:color w:val="007B4B"/>
                <w:sz w:val="26"/>
                <w:szCs w:val="26"/>
              </w:rPr>
            </w:pPr>
          </w:p>
        </w:tc>
      </w:tr>
      <w:tr w:rsidR="002E70D9" w:rsidRPr="003072C6" w14:paraId="24904CC4" w14:textId="77777777" w:rsidTr="00C75633">
        <w:trPr>
          <w:trHeight w:val="5387"/>
        </w:trPr>
        <w:tc>
          <w:tcPr>
            <w:tcW w:w="9298" w:type="dxa"/>
            <w:vAlign w:val="bottom"/>
          </w:tcPr>
          <w:p w14:paraId="2C0FED18" w14:textId="66D0FE59" w:rsidR="002E70D9" w:rsidRPr="00C31117" w:rsidRDefault="002E70D9" w:rsidP="00C75633">
            <w:pPr>
              <w:pStyle w:val="DHHSaccessibilitypara"/>
            </w:pPr>
            <w:r w:rsidRPr="00C31117">
              <w:t xml:space="preserve">To receive this publication in an accessible format phone </w:t>
            </w:r>
            <w:r w:rsidRPr="00D80C22">
              <w:t>03 9096 2119</w:t>
            </w:r>
            <w:r w:rsidRPr="00C31117">
              <w:t xml:space="preserve">, using the National Relay Service 13 36 77 if required, or </w:t>
            </w:r>
            <w:hyperlink r:id="rId9" w:history="1">
              <w:r w:rsidRPr="006F2E6F">
                <w:rPr>
                  <w:rStyle w:val="Hyperlink"/>
                </w:rPr>
                <w:t>email</w:t>
              </w:r>
              <w:r w:rsidR="004C4651" w:rsidRPr="004C4651">
                <w:rPr>
                  <w:rStyle w:val="Hyperlink"/>
                </w:rPr>
                <w:t xml:space="preserve"> </w:t>
              </w:r>
              <w:r w:rsidR="004C4651" w:rsidRPr="00502981">
                <w:rPr>
                  <w:rStyle w:val="Hyperlink"/>
                </w:rPr>
                <w:t>Environmental Sustainability</w:t>
              </w:r>
            </w:hyperlink>
            <w:r>
              <w:t xml:space="preserve"> </w:t>
            </w:r>
            <w:r w:rsidR="00176742">
              <w:t>&lt;</w:t>
            </w:r>
            <w:r w:rsidRPr="00176742">
              <w:t>sustainability@dhhs.vic.gov.au</w:t>
            </w:r>
            <w:r w:rsidR="00176742" w:rsidRPr="00176742">
              <w:t>&gt;.</w:t>
            </w:r>
          </w:p>
          <w:p w14:paraId="7A077826" w14:textId="77777777" w:rsidR="002E70D9" w:rsidRPr="00C31117" w:rsidRDefault="002E70D9" w:rsidP="00C75633">
            <w:pPr>
              <w:pStyle w:val="DHHSbody"/>
            </w:pPr>
            <w:r w:rsidRPr="00C31117">
              <w:t>Authorised and published by the Victorian Government, 1 Treasury Place, Melbourne.</w:t>
            </w:r>
          </w:p>
          <w:p w14:paraId="2C5EB398" w14:textId="644526EE" w:rsidR="00E11AA0" w:rsidRDefault="002E70D9" w:rsidP="00E11AA0">
            <w:pPr>
              <w:pStyle w:val="DHHSbody"/>
            </w:pPr>
            <w:r w:rsidRPr="00C31117">
              <w:t xml:space="preserve">© State of Victoria, Australia, </w:t>
            </w:r>
            <w:r>
              <w:t xml:space="preserve">Victorian Health and Human Services Building </w:t>
            </w:r>
            <w:r w:rsidRPr="00D80C22">
              <w:t>Authority</w:t>
            </w:r>
            <w:r w:rsidR="00102CDA">
              <w:t>,</w:t>
            </w:r>
            <w:r w:rsidRPr="00D80C22">
              <w:t xml:space="preserve"> </w:t>
            </w:r>
            <w:r w:rsidR="00464646">
              <w:t>Ma</w:t>
            </w:r>
            <w:r w:rsidR="000A2351">
              <w:t>rch</w:t>
            </w:r>
            <w:r w:rsidR="00102CDA">
              <w:t xml:space="preserve"> </w:t>
            </w:r>
            <w:r w:rsidRPr="00D80C22">
              <w:t>201</w:t>
            </w:r>
            <w:r w:rsidR="000A2351">
              <w:t>9</w:t>
            </w:r>
            <w:r w:rsidRPr="00C31117">
              <w:t>.</w:t>
            </w:r>
          </w:p>
          <w:p w14:paraId="77455A3C" w14:textId="01BE3C83" w:rsidR="00464646" w:rsidRDefault="00E11AA0" w:rsidP="00E11AA0">
            <w:pPr>
              <w:pStyle w:val="DHHSbody"/>
            </w:pPr>
            <w:r w:rsidRPr="00E11AA0">
              <w:t xml:space="preserve">ISSN 2652-0672 </w:t>
            </w:r>
            <w:r w:rsidR="00885EDC">
              <w:t>–</w:t>
            </w:r>
            <w:r w:rsidRPr="00E11AA0">
              <w:t xml:space="preserve"> Online (pdf / word)</w:t>
            </w:r>
          </w:p>
          <w:p w14:paraId="020568C0" w14:textId="323780D5" w:rsidR="002E70D9" w:rsidRPr="003072C6" w:rsidRDefault="002E70D9" w:rsidP="004C4651">
            <w:pPr>
              <w:pStyle w:val="DHHSaccessibilitypara"/>
            </w:pPr>
            <w:r w:rsidRPr="00102CDA">
              <w:rPr>
                <w:sz w:val="20"/>
                <w:szCs w:val="20"/>
              </w:rPr>
              <w:t xml:space="preserve">Available </w:t>
            </w:r>
            <w:r w:rsidR="004C4651">
              <w:rPr>
                <w:sz w:val="20"/>
                <w:szCs w:val="20"/>
              </w:rPr>
              <w:t xml:space="preserve">from </w:t>
            </w:r>
            <w:hyperlink r:id="rId10" w:history="1">
              <w:r w:rsidR="004C4651" w:rsidRPr="004C4651">
                <w:rPr>
                  <w:rStyle w:val="Hyperlink"/>
                  <w:sz w:val="20"/>
                  <w:szCs w:val="20"/>
                </w:rPr>
                <w:t>the department’s website</w:t>
              </w:r>
            </w:hyperlink>
            <w:r w:rsidR="004C4651">
              <w:rPr>
                <w:sz w:val="20"/>
                <w:szCs w:val="20"/>
              </w:rPr>
              <w:t xml:space="preserve"> </w:t>
            </w:r>
            <w:r w:rsidR="004C4651" w:rsidRPr="00526655">
              <w:rPr>
                <w:sz w:val="20"/>
                <w:szCs w:val="20"/>
              </w:rPr>
              <w:t>&lt;www.health.vic.gov.au/sustainability&gt;.</w:t>
            </w:r>
            <w:r w:rsidR="00E11AA0">
              <w:rPr>
                <w:sz w:val="20"/>
                <w:szCs w:val="20"/>
              </w:rPr>
              <w:t xml:space="preserve"> </w:t>
            </w:r>
          </w:p>
        </w:tc>
      </w:tr>
      <w:tr w:rsidR="002E70D9" w:rsidRPr="003072C6" w14:paraId="2DE15F94" w14:textId="77777777" w:rsidTr="00C75633">
        <w:tc>
          <w:tcPr>
            <w:tcW w:w="9298" w:type="dxa"/>
            <w:vAlign w:val="bottom"/>
          </w:tcPr>
          <w:p w14:paraId="4EDDCBD4" w14:textId="77777777" w:rsidR="002E70D9" w:rsidRPr="003072C6" w:rsidRDefault="002E70D9" w:rsidP="00C75633">
            <w:pPr>
              <w:pStyle w:val="DHHSbodynospace"/>
            </w:pPr>
          </w:p>
        </w:tc>
      </w:tr>
    </w:tbl>
    <w:p w14:paraId="30F91458" w14:textId="77777777" w:rsidR="00042C5B" w:rsidRDefault="00042C5B" w:rsidP="002E70D9">
      <w:pPr>
        <w:pStyle w:val="DHHSbody"/>
        <w:sectPr w:rsidR="00042C5B" w:rsidSect="00042C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701" w:right="1304" w:bottom="1134" w:left="1304" w:header="454" w:footer="510" w:gutter="0"/>
          <w:pgNumType w:fmt="lowerRoman"/>
          <w:cols w:space="720"/>
          <w:docGrid w:linePitch="360"/>
        </w:sectPr>
      </w:pPr>
    </w:p>
    <w:p w14:paraId="0526F427" w14:textId="713C723C" w:rsidR="002E70D9" w:rsidRPr="00711B0C" w:rsidRDefault="00352EFB" w:rsidP="002E70D9">
      <w:pPr>
        <w:pStyle w:val="Heading1"/>
      </w:pPr>
      <w:r>
        <w:lastRenderedPageBreak/>
        <w:t>Overview</w:t>
      </w:r>
    </w:p>
    <w:p w14:paraId="56D2A699" w14:textId="07765DD6" w:rsidR="00651BF9" w:rsidRDefault="00452E58" w:rsidP="00452E58">
      <w:pPr>
        <w:pStyle w:val="DHHSbody"/>
      </w:pPr>
      <w:r>
        <w:t xml:space="preserve">The </w:t>
      </w:r>
      <w:r>
        <w:rPr>
          <w:i/>
        </w:rPr>
        <w:t>Environmental sustainability strategy 2018</w:t>
      </w:r>
      <w:r w:rsidR="00AF7D10">
        <w:rPr>
          <w:i/>
        </w:rPr>
        <w:t>–</w:t>
      </w:r>
      <w:r>
        <w:rPr>
          <w:i/>
        </w:rPr>
        <w:t>19 to 2022</w:t>
      </w:r>
      <w:r w:rsidR="00AF7D10">
        <w:rPr>
          <w:i/>
        </w:rPr>
        <w:t>–</w:t>
      </w:r>
      <w:r>
        <w:rPr>
          <w:i/>
        </w:rPr>
        <w:t>23</w:t>
      </w:r>
      <w:r>
        <w:t xml:space="preserve"> sets out </w:t>
      </w:r>
      <w:r w:rsidR="009252E5">
        <w:t>the department’s</w:t>
      </w:r>
      <w:r>
        <w:t xml:space="preserve"> commitment to further improve the environmental performance of the health system and to adapt the health system so it is resilient in the face of climate change.</w:t>
      </w:r>
    </w:p>
    <w:p w14:paraId="6A0A8C90" w14:textId="778711C3" w:rsidR="009A463C" w:rsidRDefault="009A463C" w:rsidP="009A463C">
      <w:pPr>
        <w:pStyle w:val="DHHSbody"/>
      </w:pPr>
      <w:r w:rsidRPr="00041D83">
        <w:t>Th</w:t>
      </w:r>
      <w:r w:rsidR="00452E58">
        <w:t>e</w:t>
      </w:r>
      <w:r w:rsidRPr="00041D83">
        <w:t xml:space="preserve"> </w:t>
      </w:r>
      <w:r>
        <w:t>strategy</w:t>
      </w:r>
      <w:r w:rsidRPr="00041D83">
        <w:t xml:space="preserve"> contains </w:t>
      </w:r>
      <w:r>
        <w:t>three strategic directions, with</w:t>
      </w:r>
      <w:r w:rsidRPr="00041D83">
        <w:t xml:space="preserve"> </w:t>
      </w:r>
      <w:r>
        <w:t>each direction having a series of</w:t>
      </w:r>
      <w:r w:rsidRPr="00041D83">
        <w:t xml:space="preserve"> key objectives and </w:t>
      </w:r>
      <w:r>
        <w:t>high</w:t>
      </w:r>
      <w:r w:rsidR="00D73CD5">
        <w:t>-</w:t>
      </w:r>
      <w:r>
        <w:t>level actions from 2018</w:t>
      </w:r>
      <w:r w:rsidR="007A6CFA">
        <w:t>–</w:t>
      </w:r>
      <w:r w:rsidR="00D50FCF">
        <w:t>19</w:t>
      </w:r>
      <w:r>
        <w:t xml:space="preserve"> to 20</w:t>
      </w:r>
      <w:r w:rsidR="00D50FCF">
        <w:t>22</w:t>
      </w:r>
      <w:r w:rsidR="007A6CFA">
        <w:t>–</w:t>
      </w:r>
      <w:r w:rsidR="00452E58">
        <w:t>23</w:t>
      </w:r>
      <w:r w:rsidR="00F9501E">
        <w:t>.</w:t>
      </w:r>
      <w:r>
        <w:t xml:space="preserve"> The strategic directions are:</w:t>
      </w:r>
    </w:p>
    <w:p w14:paraId="31BF4F06" w14:textId="62FA9C14" w:rsidR="009A463C" w:rsidRPr="00102CDA" w:rsidRDefault="009A463C" w:rsidP="00D50FCF">
      <w:pPr>
        <w:pStyle w:val="DHHSbullet1"/>
      </w:pPr>
      <w:r w:rsidRPr="00102CDA">
        <w:t>provide leadership and engage with the sector</w:t>
      </w:r>
    </w:p>
    <w:p w14:paraId="13476370" w14:textId="43429417" w:rsidR="009A463C" w:rsidRPr="00102CDA" w:rsidRDefault="009A463C" w:rsidP="00D50FCF">
      <w:pPr>
        <w:pStyle w:val="DHHSbullet1"/>
      </w:pPr>
      <w:r w:rsidRPr="00102CDA">
        <w:t xml:space="preserve">improve </w:t>
      </w:r>
      <w:r w:rsidR="002D2758">
        <w:t xml:space="preserve">the </w:t>
      </w:r>
      <w:r w:rsidRPr="00102CDA">
        <w:t>environmental performance of the health system</w:t>
      </w:r>
    </w:p>
    <w:p w14:paraId="34BE7364" w14:textId="77777777" w:rsidR="009A463C" w:rsidRDefault="009A463C" w:rsidP="00D50FCF">
      <w:pPr>
        <w:pStyle w:val="DHHSbullet1"/>
      </w:pPr>
      <w:r w:rsidRPr="00102CDA">
        <w:t>adapt to a</w:t>
      </w:r>
      <w:r w:rsidRPr="006F1A43">
        <w:t xml:space="preserve"> changing climate</w:t>
      </w:r>
      <w:r>
        <w:t>.</w:t>
      </w:r>
    </w:p>
    <w:p w14:paraId="15D20095" w14:textId="3E7BB835" w:rsidR="00047330" w:rsidRDefault="008A6972" w:rsidP="00452E58">
      <w:pPr>
        <w:pStyle w:val="DHHSbodyafterbullets"/>
      </w:pPr>
      <w:r>
        <w:t>Th</w:t>
      </w:r>
      <w:r w:rsidR="005E5C86">
        <w:t>is progress report</w:t>
      </w:r>
      <w:r>
        <w:t xml:space="preserve"> </w:t>
      </w:r>
      <w:r w:rsidR="005E5C86">
        <w:t xml:space="preserve">outlines </w:t>
      </w:r>
      <w:r w:rsidR="00903903">
        <w:t>progress</w:t>
      </w:r>
      <w:r w:rsidR="005E5C86">
        <w:t xml:space="preserve"> to date in implementing the actions identified in the 2018</w:t>
      </w:r>
      <w:r w:rsidR="00D037D5">
        <w:t>–</w:t>
      </w:r>
      <w:r w:rsidR="005E5C86">
        <w:t>19 action plan</w:t>
      </w:r>
      <w:r w:rsidR="00975E21">
        <w:t xml:space="preserve"> as of </w:t>
      </w:r>
      <w:r w:rsidR="001C3C88">
        <w:t>28 February</w:t>
      </w:r>
      <w:r w:rsidR="00975E21">
        <w:t xml:space="preserve"> 2019</w:t>
      </w:r>
      <w:r w:rsidR="006F3E35">
        <w:t>.</w:t>
      </w:r>
      <w:r w:rsidR="005E5C86">
        <w:t xml:space="preserve"> A full progress report for the 2018</w:t>
      </w:r>
      <w:r w:rsidR="00AF7D10">
        <w:t>–</w:t>
      </w:r>
      <w:r w:rsidR="005E5C86">
        <w:t xml:space="preserve">19 year will be published </w:t>
      </w:r>
      <w:r w:rsidR="00956C58">
        <w:t>in</w:t>
      </w:r>
      <w:r w:rsidR="005E5C86">
        <w:t xml:space="preserve"> October 2019</w:t>
      </w:r>
      <w:r w:rsidR="00C10B07">
        <w:t>, including an assessment against the key reporting metrics identified in the strategy</w:t>
      </w:r>
      <w:r w:rsidR="00975E21">
        <w:t>.</w:t>
      </w:r>
    </w:p>
    <w:p w14:paraId="17C3D079" w14:textId="43F191E2" w:rsidR="009A41A1" w:rsidRDefault="009A41A1" w:rsidP="009A41A1">
      <w:pPr>
        <w:pStyle w:val="Heading1"/>
      </w:pPr>
      <w:r>
        <w:t>Status</w:t>
      </w:r>
    </w:p>
    <w:p w14:paraId="28FD86BE" w14:textId="77777777" w:rsidR="00FE35F6" w:rsidRDefault="009A41A1" w:rsidP="00B16D94">
      <w:pPr>
        <w:pStyle w:val="DHHSbody"/>
      </w:pPr>
      <w:r>
        <w:t>The status of projects</w:t>
      </w:r>
      <w:r w:rsidRPr="009A41A1">
        <w:t xml:space="preserve"> </w:t>
      </w:r>
      <w:r w:rsidR="00FE35F6">
        <w:t>is</w:t>
      </w:r>
      <w:r w:rsidRPr="009A41A1">
        <w:t xml:space="preserve"> expressed in terms of </w:t>
      </w:r>
      <w:r>
        <w:t xml:space="preserve">a </w:t>
      </w:r>
      <w:r w:rsidR="00FE35F6">
        <w:t xml:space="preserve">basic </w:t>
      </w:r>
      <w:r>
        <w:t xml:space="preserve">traffic light assessment. </w:t>
      </w:r>
    </w:p>
    <w:p w14:paraId="6EFA3FBB" w14:textId="2B5695C2" w:rsidR="00FE35F6" w:rsidRDefault="009A41A1" w:rsidP="00B16D94">
      <w:pPr>
        <w:pStyle w:val="DHHSbody"/>
      </w:pPr>
      <w:r>
        <w:t>R</w:t>
      </w:r>
      <w:r w:rsidRPr="009A41A1">
        <w:t xml:space="preserve">ed indicates a performance that is </w:t>
      </w:r>
      <w:r w:rsidR="00FE35F6">
        <w:t>significantly</w:t>
      </w:r>
      <w:r w:rsidRPr="009A41A1">
        <w:t xml:space="preserve"> below target, yellow indicates a performance that is </w:t>
      </w:r>
      <w:r w:rsidR="00244903">
        <w:t>at risk of being</w:t>
      </w:r>
      <w:r w:rsidRPr="009A41A1">
        <w:t xml:space="preserve"> below target, and green indicates a performance that is as expected </w:t>
      </w:r>
      <w:r w:rsidR="00FE35F6">
        <w:t xml:space="preserve">or </w:t>
      </w:r>
      <w:r w:rsidRPr="009A41A1">
        <w:t>better than expected</w:t>
      </w:r>
      <w:r w:rsidR="00FE35F6">
        <w:t xml:space="preserve">. </w:t>
      </w:r>
    </w:p>
    <w:p w14:paraId="48BAE085" w14:textId="2D5FD352" w:rsidR="00B475C8" w:rsidRDefault="00FE35F6" w:rsidP="00502981">
      <w:pPr>
        <w:pStyle w:val="DHHSbody"/>
        <w:rPr>
          <w:b/>
        </w:rPr>
        <w:sectPr w:rsidR="00B475C8" w:rsidSect="00042C5B">
          <w:pgSz w:w="11906" w:h="16838"/>
          <w:pgMar w:top="1701" w:right="1304" w:bottom="1134" w:left="1304" w:header="454" w:footer="510" w:gutter="0"/>
          <w:pgNumType w:start="1"/>
          <w:cols w:space="720"/>
          <w:docGrid w:linePitch="360"/>
        </w:sectPr>
      </w:pPr>
      <w:r>
        <w:t xml:space="preserve">Projects </w:t>
      </w:r>
      <w:r w:rsidR="00AF7D10">
        <w:t xml:space="preserve">that </w:t>
      </w:r>
      <w:r>
        <w:t>are complete are marked green and indicated as ‘</w:t>
      </w:r>
      <w:bookmarkStart w:id="1" w:name="_Toc256778633"/>
      <w:r>
        <w:t>complete’.</w:t>
      </w:r>
      <w:r w:rsidR="004C4651">
        <w:t xml:space="preserve"> There are no projects that are significantly</w:t>
      </w:r>
      <w:r w:rsidR="004C4651" w:rsidRPr="009A41A1">
        <w:t xml:space="preserve"> below target</w:t>
      </w:r>
      <w:r w:rsidR="004C4651">
        <w:t xml:space="preserve"> (red).</w:t>
      </w:r>
      <w:bookmarkEnd w:id="1"/>
    </w:p>
    <w:p w14:paraId="58B8484F" w14:textId="200166FB" w:rsidR="00B475C8" w:rsidRDefault="005E5C86" w:rsidP="00EB6D7E">
      <w:pPr>
        <w:pStyle w:val="Heading1"/>
      </w:pPr>
      <w:r>
        <w:lastRenderedPageBreak/>
        <w:t xml:space="preserve">Strategic direction 1: </w:t>
      </w:r>
      <w:r w:rsidR="00AE188D">
        <w:t>P</w:t>
      </w:r>
      <w:r>
        <w:t>rovide leadership and engage with the sector</w:t>
      </w:r>
    </w:p>
    <w:tbl>
      <w:tblPr>
        <w:tblStyle w:val="MediumGrid3-Accent4"/>
        <w:tblW w:w="14449" w:type="dxa"/>
        <w:tblLayout w:type="fixed"/>
        <w:tblLook w:val="04A0" w:firstRow="1" w:lastRow="0" w:firstColumn="1" w:lastColumn="0" w:noHBand="0" w:noVBand="1"/>
      </w:tblPr>
      <w:tblGrid>
        <w:gridCol w:w="4668"/>
        <w:gridCol w:w="4961"/>
        <w:gridCol w:w="2268"/>
        <w:gridCol w:w="1418"/>
        <w:gridCol w:w="1134"/>
      </w:tblGrid>
      <w:tr w:rsidR="009019BC" w14:paraId="1C243A5F" w14:textId="4536B9AE" w:rsidTr="00956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bottom w:val="single" w:sz="12" w:space="0" w:color="FFFFFF" w:themeColor="background1"/>
            </w:tcBorders>
          </w:tcPr>
          <w:p w14:paraId="5E5BE581" w14:textId="70D85D9C" w:rsidR="009019BC" w:rsidRPr="00B16D94" w:rsidRDefault="009019BC" w:rsidP="00B16D94">
            <w:pPr>
              <w:pStyle w:val="DHHStablecolhead"/>
              <w:rPr>
                <w:b/>
              </w:rPr>
            </w:pPr>
            <w:r w:rsidRPr="00B16D94">
              <w:rPr>
                <w:b/>
              </w:rPr>
              <w:t>2018</w:t>
            </w:r>
            <w:r w:rsidR="00AF7D10" w:rsidRPr="00B16D94">
              <w:rPr>
                <w:b/>
              </w:rPr>
              <w:t>–</w:t>
            </w:r>
            <w:r w:rsidRPr="00B16D94">
              <w:rPr>
                <w:b/>
              </w:rPr>
              <w:t>19 action</w:t>
            </w:r>
          </w:p>
        </w:tc>
        <w:tc>
          <w:tcPr>
            <w:tcW w:w="4961" w:type="dxa"/>
            <w:tcBorders>
              <w:bottom w:val="single" w:sz="12" w:space="0" w:color="FFFFFF" w:themeColor="background1"/>
            </w:tcBorders>
          </w:tcPr>
          <w:p w14:paraId="47496C9B" w14:textId="5C4F8F2C" w:rsidR="009019BC" w:rsidRPr="00B16D94" w:rsidRDefault="009019B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 xml:space="preserve">Progress as of </w:t>
            </w:r>
            <w:r w:rsidR="003A3E6C" w:rsidRPr="00B16D94">
              <w:rPr>
                <w:b/>
              </w:rPr>
              <w:t>28</w:t>
            </w:r>
            <w:r w:rsidRPr="00B16D94">
              <w:rPr>
                <w:b/>
              </w:rPr>
              <w:t xml:space="preserve"> </w:t>
            </w:r>
            <w:r w:rsidR="003A3E6C" w:rsidRPr="00B16D94">
              <w:rPr>
                <w:b/>
              </w:rPr>
              <w:t>Febr</w:t>
            </w:r>
            <w:r w:rsidRPr="00B16D94">
              <w:rPr>
                <w:b/>
              </w:rPr>
              <w:t>uary 2019</w:t>
            </w:r>
          </w:p>
        </w:tc>
        <w:tc>
          <w:tcPr>
            <w:tcW w:w="2268" w:type="dxa"/>
            <w:tcBorders>
              <w:bottom w:val="single" w:sz="12" w:space="0" w:color="FFFFFF" w:themeColor="background1"/>
            </w:tcBorders>
          </w:tcPr>
          <w:p w14:paraId="16DCC219" w14:textId="707F8487" w:rsidR="009019BC" w:rsidRPr="00B16D94" w:rsidRDefault="009019B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Risks</w:t>
            </w:r>
          </w:p>
        </w:tc>
        <w:tc>
          <w:tcPr>
            <w:tcW w:w="1418" w:type="dxa"/>
            <w:tcBorders>
              <w:bottom w:val="single" w:sz="12" w:space="0" w:color="FFFFFF" w:themeColor="background1"/>
            </w:tcBorders>
          </w:tcPr>
          <w:p w14:paraId="70C4035E" w14:textId="3F695E0E" w:rsidR="009019BC" w:rsidRPr="00B16D94" w:rsidRDefault="009019B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Target completion</w:t>
            </w:r>
          </w:p>
        </w:tc>
        <w:tc>
          <w:tcPr>
            <w:tcW w:w="1134" w:type="dxa"/>
            <w:tcBorders>
              <w:bottom w:val="single" w:sz="12" w:space="0" w:color="FFFFFF" w:themeColor="background1"/>
            </w:tcBorders>
          </w:tcPr>
          <w:p w14:paraId="5F7E1F0D" w14:textId="49CDA1C6" w:rsidR="009019BC" w:rsidRPr="00B16D94" w:rsidRDefault="009019B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Status</w:t>
            </w:r>
          </w:p>
        </w:tc>
      </w:tr>
      <w:tr w:rsidR="009019BC" w14:paraId="5D450F7C" w14:textId="047A2392" w:rsidTr="0095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13511AB6" w14:textId="39B2106C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Establish a research and innovation program to allow public hospitals and health services to implement local sustainability solutions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7A4BE"/>
          </w:tcPr>
          <w:p w14:paraId="1689F0D2" w14:textId="378C0CE1" w:rsidR="009019BC" w:rsidRPr="00521345" w:rsidRDefault="00903903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Twenty-three submissions were </w:t>
            </w:r>
            <w:r w:rsidR="00D97142">
              <w:t>received,</w:t>
            </w:r>
            <w:r>
              <w:t xml:space="preserve"> and </w:t>
            </w:r>
            <w:r w:rsidR="00D037D5">
              <w:t xml:space="preserve">VHHSBA </w:t>
            </w:r>
            <w:r>
              <w:t xml:space="preserve">has funded </w:t>
            </w:r>
            <w:r w:rsidR="00BD0501">
              <w:t>11</w:t>
            </w:r>
            <w:r>
              <w:t xml:space="preserve"> projects</w:t>
            </w:r>
            <w:r w:rsidR="00BD0501">
              <w:t xml:space="preserve"> including greening external spaces, life cycle assessment of pathology testing, specialist recycling, reducing waste in food services, carbon foot</w:t>
            </w:r>
            <w:r w:rsidR="008B2962">
              <w:t>-</w:t>
            </w:r>
            <w:r w:rsidR="00BD0501">
              <w:t>printing</w:t>
            </w:r>
            <w:r w:rsidR="00956C58">
              <w:t xml:space="preserve"> of services</w:t>
            </w:r>
            <w:r w:rsidR="00BD0501">
              <w:t>, climate adaptation and energy use of medical equipment</w:t>
            </w:r>
            <w:r>
              <w:t>.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0AB8C40C" w14:textId="4E57AFCB" w:rsidR="009019BC" w:rsidRDefault="00903903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956C58">
              <w:t>Projects not delivered</w:t>
            </w:r>
          </w:p>
          <w:p w14:paraId="0F9E5B38" w14:textId="39058560" w:rsidR="00903903" w:rsidRPr="00521345" w:rsidRDefault="00903903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CC6077">
              <w:t>Continued engagement with health services</w:t>
            </w:r>
          </w:p>
        </w:tc>
        <w:tc>
          <w:tcPr>
            <w:tcW w:w="1418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71F479D2" w14:textId="5F2F1DF2" w:rsidR="009019BC" w:rsidRPr="00521345" w:rsidRDefault="003401CA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</w:tcBorders>
            <w:shd w:val="clear" w:color="auto" w:fill="92D050"/>
          </w:tcPr>
          <w:p w14:paraId="5CB35674" w14:textId="5FECD237" w:rsidR="009019BC" w:rsidRPr="00521345" w:rsidRDefault="003401CA" w:rsidP="00D10BC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</w:t>
            </w:r>
          </w:p>
        </w:tc>
      </w:tr>
      <w:tr w:rsidR="00610F8C" w14:paraId="000ED39A" w14:textId="670885BE" w:rsidTr="0095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23204B63" w14:textId="5779BA10" w:rsidR="00610F8C" w:rsidRPr="00457E06" w:rsidRDefault="00610F8C" w:rsidP="006F2E6F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Health Purchasing Victoria </w:t>
            </w:r>
            <w:r w:rsidR="00BD3B53">
              <w:rPr>
                <w:b w:val="0"/>
                <w:color w:val="auto"/>
              </w:rPr>
              <w:t xml:space="preserve">(HPV) </w:t>
            </w:r>
            <w:r w:rsidRPr="00457E06">
              <w:rPr>
                <w:b w:val="0"/>
                <w:color w:val="auto"/>
              </w:rPr>
              <w:t>will develop a formal social procurement plan for collective procurement to implement the</w:t>
            </w:r>
            <w:r w:rsidRPr="00502981">
              <w:rPr>
                <w:i/>
              </w:rPr>
              <w:t xml:space="preserve"> </w:t>
            </w:r>
            <w:r w:rsidRPr="00502981">
              <w:rPr>
                <w:b w:val="0"/>
                <w:i/>
                <w:color w:val="000000" w:themeColor="text1"/>
              </w:rPr>
              <w:t xml:space="preserve">Social </w:t>
            </w:r>
            <w:r w:rsidR="00BD3B53" w:rsidRPr="00502981">
              <w:rPr>
                <w:b w:val="0"/>
                <w:i/>
                <w:color w:val="000000" w:themeColor="text1"/>
              </w:rPr>
              <w:t>p</w:t>
            </w:r>
            <w:r w:rsidRPr="00502981">
              <w:rPr>
                <w:b w:val="0"/>
                <w:i/>
                <w:color w:val="000000" w:themeColor="text1"/>
              </w:rPr>
              <w:t xml:space="preserve">rocurement </w:t>
            </w:r>
            <w:r w:rsidR="00BD3B53" w:rsidRPr="00502981">
              <w:rPr>
                <w:b w:val="0"/>
                <w:i/>
                <w:color w:val="000000" w:themeColor="text1"/>
              </w:rPr>
              <w:t>f</w:t>
            </w:r>
            <w:r w:rsidRPr="00502981">
              <w:rPr>
                <w:b w:val="0"/>
                <w:i/>
                <w:color w:val="000000" w:themeColor="text1"/>
              </w:rPr>
              <w:t>ramework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223A72B0" w14:textId="2B8AA359" w:rsidR="00610F8C" w:rsidRPr="00521345" w:rsidRDefault="00BD3B53" w:rsidP="00502981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HPV</w:t>
            </w:r>
            <w:r w:rsidR="00610F8C" w:rsidRPr="003E4B7F">
              <w:t xml:space="preserve"> has endorsed an interim </w:t>
            </w:r>
            <w:r w:rsidR="00610F8C" w:rsidRPr="00502981">
              <w:rPr>
                <w:i/>
              </w:rPr>
              <w:t xml:space="preserve">Social </w:t>
            </w:r>
            <w:r>
              <w:rPr>
                <w:i/>
              </w:rPr>
              <w:t>p</w:t>
            </w:r>
            <w:r w:rsidR="00610F8C" w:rsidRPr="00502981">
              <w:rPr>
                <w:i/>
              </w:rPr>
              <w:t xml:space="preserve">rocurement </w:t>
            </w:r>
            <w:r>
              <w:rPr>
                <w:i/>
              </w:rPr>
              <w:t>s</w:t>
            </w:r>
            <w:r w:rsidR="00610F8C" w:rsidRPr="00502981">
              <w:rPr>
                <w:i/>
              </w:rPr>
              <w:t>trategy</w:t>
            </w:r>
            <w:r w:rsidR="00610F8C" w:rsidRPr="003E4B7F">
              <w:t xml:space="preserve"> for 2018</w:t>
            </w:r>
            <w:r w:rsidR="00AF7D10">
              <w:t>–</w:t>
            </w:r>
            <w:r w:rsidR="00610F8C" w:rsidRPr="003E4B7F">
              <w:t xml:space="preserve">19 that includes actions to implement social procurement measures into HPV collective procurement and provide training </w:t>
            </w:r>
            <w:r w:rsidR="003401CA">
              <w:t>and</w:t>
            </w:r>
            <w:r w:rsidR="00610F8C" w:rsidRPr="003E4B7F">
              <w:t xml:space="preserve"> support to health services. </w:t>
            </w:r>
          </w:p>
        </w:tc>
        <w:tc>
          <w:tcPr>
            <w:tcW w:w="2268" w:type="dxa"/>
            <w:shd w:val="clear" w:color="auto" w:fill="F7A4BE"/>
          </w:tcPr>
          <w:p w14:paraId="39F6BD37" w14:textId="77777777" w:rsidR="00610F8C" w:rsidRDefault="00610F8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B7F">
              <w:t>Risk: Resourcing</w:t>
            </w:r>
          </w:p>
          <w:p w14:paraId="268A4387" w14:textId="791E125B" w:rsidR="00610F8C" w:rsidRPr="00521345" w:rsidRDefault="00610F8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R</w:t>
            </w:r>
            <w:r>
              <w:t>ecruit</w:t>
            </w:r>
            <w:r w:rsidR="00BF7D9E">
              <w:t>ed</w:t>
            </w:r>
            <w:r w:rsidR="00956C58">
              <w:t xml:space="preserve"> </w:t>
            </w:r>
            <w:r>
              <w:t xml:space="preserve">a project officer to assist specifically </w:t>
            </w:r>
            <w:r w:rsidR="00BF7D9E">
              <w:t xml:space="preserve">with the </w:t>
            </w:r>
            <w:r>
              <w:t>social procurement framework</w:t>
            </w:r>
          </w:p>
        </w:tc>
        <w:tc>
          <w:tcPr>
            <w:tcW w:w="1418" w:type="dxa"/>
            <w:shd w:val="clear" w:color="auto" w:fill="F7A4BE"/>
          </w:tcPr>
          <w:p w14:paraId="522B636A" w14:textId="12AC538C" w:rsidR="00610F8C" w:rsidRPr="00521345" w:rsidRDefault="00610F8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134" w:type="dxa"/>
            <w:shd w:val="clear" w:color="auto" w:fill="92D050"/>
          </w:tcPr>
          <w:p w14:paraId="4CFFAF8D" w14:textId="12701863" w:rsidR="00610F8C" w:rsidRPr="00521345" w:rsidRDefault="00610F8C" w:rsidP="00610F8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</w:t>
            </w:r>
          </w:p>
        </w:tc>
      </w:tr>
      <w:tr w:rsidR="009019BC" w14:paraId="29974797" w14:textId="07FE92C9" w:rsidTr="0095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4836EDD5" w14:textId="028AFB52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Join the Global Green </w:t>
            </w:r>
            <w:r w:rsidR="003401CA" w:rsidRPr="00457E06">
              <w:rPr>
                <w:b w:val="0"/>
                <w:color w:val="auto"/>
              </w:rPr>
              <w:t>and</w:t>
            </w:r>
            <w:r w:rsidRPr="00457E06">
              <w:rPr>
                <w:b w:val="0"/>
                <w:color w:val="auto"/>
              </w:rPr>
              <w:t xml:space="preserve"> Health</w:t>
            </w:r>
            <w:r w:rsidR="00BF7D9E">
              <w:rPr>
                <w:b w:val="0"/>
                <w:color w:val="auto"/>
              </w:rPr>
              <w:t>y</w:t>
            </w:r>
            <w:r w:rsidRPr="00457E06">
              <w:rPr>
                <w:b w:val="0"/>
                <w:color w:val="auto"/>
              </w:rPr>
              <w:t xml:space="preserve"> Hospitals network and encourage public hospitals and health services to join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CE7B4B2" w14:textId="20412782" w:rsidR="009019BC" w:rsidRDefault="00D037D5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VHHSBA </w:t>
            </w:r>
            <w:r w:rsidR="009019BC">
              <w:t xml:space="preserve">has joined the Global Green </w:t>
            </w:r>
            <w:r w:rsidR="00BF7D9E">
              <w:t>and</w:t>
            </w:r>
            <w:r w:rsidR="009019BC">
              <w:t xml:space="preserve"> Healthy Hospitals network on behalf of the Department of Health and Human Services.</w:t>
            </w:r>
          </w:p>
          <w:p w14:paraId="595C1B1C" w14:textId="1096F798" w:rsidR="009019BC" w:rsidRPr="00521345" w:rsidRDefault="00D037D5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VHHSBA </w:t>
            </w:r>
            <w:r w:rsidR="009019BC">
              <w:t xml:space="preserve">actively participates in network meetings and presented </w:t>
            </w:r>
            <w:r w:rsidR="00BF7D9E">
              <w:t>our</w:t>
            </w:r>
            <w:r w:rsidR="009019BC">
              <w:t xml:space="preserve"> </w:t>
            </w:r>
            <w:r w:rsidR="00BF7D9E">
              <w:t>W</w:t>
            </w:r>
            <w:r w:rsidR="009019BC">
              <w:t xml:space="preserve">aste </w:t>
            </w:r>
            <w:r w:rsidR="00BF7D9E">
              <w:t>E</w:t>
            </w:r>
            <w:r w:rsidR="009019BC">
              <w:t xml:space="preserve">ducation in </w:t>
            </w:r>
            <w:r w:rsidR="00BF7D9E">
              <w:t>H</w:t>
            </w:r>
            <w:r w:rsidR="009019BC">
              <w:t>ealthcare project to the Australasian members of the network.</w:t>
            </w:r>
          </w:p>
        </w:tc>
        <w:tc>
          <w:tcPr>
            <w:tcW w:w="2268" w:type="dxa"/>
            <w:shd w:val="clear" w:color="auto" w:fill="F7A4BE"/>
          </w:tcPr>
          <w:p w14:paraId="07824009" w14:textId="0AA5491B" w:rsidR="009019BC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Risk: Health services do not join up</w:t>
            </w:r>
          </w:p>
          <w:p w14:paraId="32478DBD" w14:textId="3B64FC42" w:rsidR="009019BC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Mitigation: Continue to encourage health services to join</w:t>
            </w:r>
          </w:p>
        </w:tc>
        <w:tc>
          <w:tcPr>
            <w:tcW w:w="1418" w:type="dxa"/>
            <w:shd w:val="clear" w:color="auto" w:fill="F7A4BE"/>
          </w:tcPr>
          <w:p w14:paraId="15EAD69D" w14:textId="453B4150" w:rsidR="009019BC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  <w:r w:rsidR="00BF7D9E">
              <w:t>:</w:t>
            </w:r>
            <w:r w:rsidR="00E11AA0">
              <w:t xml:space="preserve"> VHHSBA has joined</w:t>
            </w:r>
          </w:p>
          <w:p w14:paraId="2004E13E" w14:textId="47DF03CC" w:rsidR="00E11AA0" w:rsidRDefault="00E11AA0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Encouraging </w:t>
            </w:r>
            <w:r w:rsidR="00A479D5">
              <w:t>others</w:t>
            </w:r>
            <w:r>
              <w:t xml:space="preserve"> to join (ongoing)</w:t>
            </w:r>
          </w:p>
        </w:tc>
        <w:tc>
          <w:tcPr>
            <w:tcW w:w="1134" w:type="dxa"/>
            <w:shd w:val="clear" w:color="auto" w:fill="92D050"/>
          </w:tcPr>
          <w:p w14:paraId="4C51E556" w14:textId="43D9E128" w:rsidR="009019BC" w:rsidRPr="00521345" w:rsidRDefault="00E11AA0" w:rsidP="00D10BC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9019BC" w14:paraId="284A2FFD" w14:textId="7CD7F68B" w:rsidTr="0095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32B02F5C" w14:textId="1D5A4AB5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Establish an annual professional development and webinar program for public hospitals and health services</w:t>
            </w:r>
            <w:r w:rsidR="00BF7D9E">
              <w:rPr>
                <w:b w:val="0"/>
                <w:color w:val="auto"/>
              </w:rPr>
              <w:t>,</w:t>
            </w:r>
            <w:r w:rsidRPr="00457E06">
              <w:rPr>
                <w:b w:val="0"/>
                <w:color w:val="auto"/>
              </w:rPr>
              <w:t xml:space="preserve"> and communicate sustainability messages to the sector through sustainability updates and our website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47D381EA" w14:textId="1A3287F8" w:rsidR="009019BC" w:rsidRPr="00521345" w:rsidRDefault="001C3C88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Held </w:t>
            </w:r>
            <w:r w:rsidR="00BF7D9E">
              <w:t xml:space="preserve">a </w:t>
            </w:r>
            <w:r>
              <w:t xml:space="preserve">webinar on e-waste in October 2018 and </w:t>
            </w:r>
            <w:r w:rsidR="00BF7D9E">
              <w:t xml:space="preserve">participated in a </w:t>
            </w:r>
            <w:r>
              <w:t>sustainability in health forum in February 2019. Sustainability updates issued in September and December</w:t>
            </w:r>
            <w:r w:rsidR="003401CA">
              <w:t xml:space="preserve"> 2018</w:t>
            </w:r>
            <w:r>
              <w:t>.</w:t>
            </w:r>
          </w:p>
        </w:tc>
        <w:tc>
          <w:tcPr>
            <w:tcW w:w="2268" w:type="dxa"/>
            <w:shd w:val="clear" w:color="auto" w:fill="F7A4BE"/>
          </w:tcPr>
          <w:p w14:paraId="259ABB94" w14:textId="0D457C99" w:rsidR="009019BC" w:rsidRDefault="001C3C88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A</w:t>
            </w:r>
            <w:r>
              <w:t>vailability of appropriate software to deliver webinars</w:t>
            </w:r>
          </w:p>
          <w:p w14:paraId="16A168A4" w14:textId="7FA18BDB" w:rsidR="001C3C88" w:rsidRPr="00521345" w:rsidRDefault="001C3C88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>
              <w:t xml:space="preserve">ontinue to work with </w:t>
            </w:r>
            <w:r w:rsidR="00D037D5">
              <w:t xml:space="preserve">the department’s </w:t>
            </w:r>
            <w:r>
              <w:t>IT branch</w:t>
            </w:r>
          </w:p>
        </w:tc>
        <w:tc>
          <w:tcPr>
            <w:tcW w:w="1418" w:type="dxa"/>
            <w:shd w:val="clear" w:color="auto" w:fill="F7A4BE"/>
          </w:tcPr>
          <w:p w14:paraId="537617BF" w14:textId="71489725" w:rsidR="009019BC" w:rsidRPr="00521345" w:rsidRDefault="001C3C88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4" w:type="dxa"/>
            <w:shd w:val="clear" w:color="auto" w:fill="92D050"/>
          </w:tcPr>
          <w:p w14:paraId="041A3EB1" w14:textId="514A7CF7" w:rsidR="009019BC" w:rsidRPr="00AF7D10" w:rsidRDefault="00AF7D10" w:rsidP="00AF7D10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9019BC" w14:paraId="70C4B174" w14:textId="7DE3BA14" w:rsidTr="0095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5469E3A7" w14:textId="737F4B10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lastRenderedPageBreak/>
              <w:t>Report on the health system</w:t>
            </w:r>
            <w:r w:rsidR="00BF7D9E">
              <w:rPr>
                <w:b w:val="0"/>
                <w:color w:val="auto"/>
              </w:rPr>
              <w:t>’</w:t>
            </w:r>
            <w:r w:rsidRPr="00457E06">
              <w:rPr>
                <w:b w:val="0"/>
                <w:color w:val="auto"/>
              </w:rPr>
              <w:t>s 2018</w:t>
            </w:r>
            <w:r w:rsidR="00AF7D10" w:rsidRPr="00457E06">
              <w:rPr>
                <w:b w:val="0"/>
                <w:color w:val="auto"/>
              </w:rPr>
              <w:t>–</w:t>
            </w:r>
            <w:r w:rsidRPr="00457E06">
              <w:rPr>
                <w:b w:val="0"/>
                <w:color w:val="auto"/>
              </w:rPr>
              <w:t>19 emissions in the department’s annual report, including for the first time on transport emissions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639016A3" w14:textId="756FA46A" w:rsidR="009019BC" w:rsidRPr="00521345" w:rsidRDefault="009019BC" w:rsidP="00502981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21">
              <w:rPr>
                <w:bCs/>
              </w:rPr>
              <w:t>A c</w:t>
            </w:r>
            <w:r>
              <w:rPr>
                <w:bCs/>
              </w:rPr>
              <w:t>onsultant has establish</w:t>
            </w:r>
            <w:r w:rsidR="00956C58">
              <w:rPr>
                <w:bCs/>
              </w:rPr>
              <w:t>ed the 2017</w:t>
            </w:r>
            <w:r w:rsidR="00AF7D10">
              <w:rPr>
                <w:bCs/>
              </w:rPr>
              <w:t>–</w:t>
            </w:r>
            <w:r w:rsidR="00956C58">
              <w:rPr>
                <w:bCs/>
              </w:rPr>
              <w:t>18</w:t>
            </w:r>
            <w:r>
              <w:rPr>
                <w:bCs/>
              </w:rPr>
              <w:t xml:space="preserve"> carbon emissions baseline of the metropolitan hospital vehicle fleet. The project team is engaging with health services</w:t>
            </w:r>
            <w:r w:rsidR="00956C58">
              <w:rPr>
                <w:bCs/>
              </w:rPr>
              <w:t xml:space="preserve"> to identify opportunities</w:t>
            </w:r>
            <w:r w:rsidR="00BF7D9E">
              <w:rPr>
                <w:bCs/>
              </w:rPr>
              <w:t>,</w:t>
            </w:r>
            <w:r>
              <w:rPr>
                <w:bCs/>
              </w:rPr>
              <w:t xml:space="preserve"> and the project is due for completion in April 2019.</w:t>
            </w:r>
          </w:p>
        </w:tc>
        <w:tc>
          <w:tcPr>
            <w:tcW w:w="2268" w:type="dxa"/>
            <w:shd w:val="clear" w:color="auto" w:fill="F7A4BE"/>
          </w:tcPr>
          <w:p w14:paraId="7DDE3B57" w14:textId="57035D3C" w:rsidR="009019BC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Risk: 2018</w:t>
            </w:r>
            <w:r w:rsidR="00D037D5">
              <w:t>–</w:t>
            </w:r>
            <w:r>
              <w:t>19 data not collected in time for reporting</w:t>
            </w:r>
          </w:p>
          <w:p w14:paraId="0610E47D" w14:textId="371CA1D6" w:rsidR="009019BC" w:rsidRPr="00521345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R</w:t>
            </w:r>
            <w:r>
              <w:t>eport to FTB reporting year (May to April)</w:t>
            </w:r>
          </w:p>
        </w:tc>
        <w:tc>
          <w:tcPr>
            <w:tcW w:w="1418" w:type="dxa"/>
            <w:shd w:val="clear" w:color="auto" w:fill="F7A4BE"/>
          </w:tcPr>
          <w:p w14:paraId="04226077" w14:textId="0CD8867B" w:rsidR="009019BC" w:rsidRPr="00521345" w:rsidRDefault="009019B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2019</w:t>
            </w:r>
          </w:p>
        </w:tc>
        <w:tc>
          <w:tcPr>
            <w:tcW w:w="1134" w:type="dxa"/>
            <w:shd w:val="clear" w:color="auto" w:fill="92D050"/>
          </w:tcPr>
          <w:p w14:paraId="246690CC" w14:textId="6AC81E4A" w:rsidR="009019BC" w:rsidRPr="00521345" w:rsidRDefault="00AF7D10" w:rsidP="00D10BC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9019BC" w14:paraId="5D15A88A" w14:textId="7299D4E6" w:rsidTr="0095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097E4B35" w14:textId="5AA16D35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Work with Sustainability Victoria to educate public hospitals and health services on </w:t>
            </w:r>
            <w:r w:rsidR="00C55E7A">
              <w:rPr>
                <w:b w:val="0"/>
                <w:color w:val="auto"/>
              </w:rPr>
              <w:t xml:space="preserve">the </w:t>
            </w:r>
            <w:r w:rsidRPr="00457E06">
              <w:rPr>
                <w:b w:val="0"/>
                <w:color w:val="auto"/>
              </w:rPr>
              <w:t>requirements of the e-waste ban commencing on 1 July 2019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B7263CA" w14:textId="1916D6CE" w:rsidR="009019BC" w:rsidRDefault="009019B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webinar on the e-waste ban has been made available to all Victorian public health services. </w:t>
            </w:r>
            <w:r w:rsidR="00BE76DA" w:rsidRPr="00D97142">
              <w:t xml:space="preserve">To date </w:t>
            </w:r>
            <w:r w:rsidR="00D97142">
              <w:t xml:space="preserve">there has been </w:t>
            </w:r>
            <w:r w:rsidR="00BE76DA" w:rsidRPr="00D97142">
              <w:t>125 view</w:t>
            </w:r>
            <w:r w:rsidR="00D97142">
              <w:t>s of the webinar</w:t>
            </w:r>
            <w:r w:rsidR="00BE76DA" w:rsidRPr="00D97142">
              <w:t>.</w:t>
            </w:r>
          </w:p>
          <w:p w14:paraId="14B3491E" w14:textId="79AD36A5" w:rsidR="009019BC" w:rsidRPr="00521345" w:rsidRDefault="009019B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further information becomes available updates will be provided to health services. </w:t>
            </w:r>
          </w:p>
        </w:tc>
        <w:tc>
          <w:tcPr>
            <w:tcW w:w="2268" w:type="dxa"/>
            <w:shd w:val="clear" w:color="auto" w:fill="F7A4BE"/>
          </w:tcPr>
          <w:p w14:paraId="6A0D0F3C" w14:textId="60795CD1" w:rsidR="009019BC" w:rsidRDefault="009019B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H</w:t>
            </w:r>
            <w:r>
              <w:t>ealth services are unsure of what to do with e-waste</w:t>
            </w:r>
          </w:p>
          <w:p w14:paraId="660E95E7" w14:textId="2AEAA21B" w:rsidR="009019BC" w:rsidRPr="00521345" w:rsidRDefault="009019B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>
              <w:t>ontinue to liaise with partners and provide updates to health services</w:t>
            </w:r>
          </w:p>
        </w:tc>
        <w:tc>
          <w:tcPr>
            <w:tcW w:w="1418" w:type="dxa"/>
            <w:shd w:val="clear" w:color="auto" w:fill="F7A4BE"/>
          </w:tcPr>
          <w:p w14:paraId="60420369" w14:textId="67D96886" w:rsidR="009019BC" w:rsidRPr="00521345" w:rsidRDefault="00903903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4" w:type="dxa"/>
            <w:shd w:val="clear" w:color="auto" w:fill="92D050"/>
          </w:tcPr>
          <w:p w14:paraId="128967C1" w14:textId="1A3EF25F" w:rsidR="009019BC" w:rsidRPr="00521345" w:rsidRDefault="00AF7D10" w:rsidP="00D10BC5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9019BC" w14:paraId="179C295B" w14:textId="3C5E15AE" w:rsidTr="0095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749EE0EB" w14:textId="36292AB8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Update the environmental management plan template to align with the strategy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6DA2F37D" w14:textId="15138DBA" w:rsidR="009019B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VH</w:t>
            </w:r>
            <w:r w:rsidR="00CC6077">
              <w:t>H</w:t>
            </w:r>
            <w:r>
              <w:t xml:space="preserve">SBA is engaging with health services to understand barriers and opportunities and how they can be addressed through </w:t>
            </w:r>
            <w:r w:rsidR="00CC6077">
              <w:t>environmental management planning</w:t>
            </w:r>
            <w:r>
              <w:t>.</w:t>
            </w:r>
          </w:p>
          <w:p w14:paraId="151EB0A4" w14:textId="0659BA08" w:rsidR="003A3E6C" w:rsidRPr="00521345" w:rsidRDefault="003A3E6C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VHHSBA is working with </w:t>
            </w:r>
            <w:r w:rsidR="00616464">
              <w:t xml:space="preserve">the </w:t>
            </w:r>
            <w:r w:rsidR="00616464" w:rsidRPr="00616464">
              <w:t>Department of Environment, Land, Water and Planning</w:t>
            </w:r>
            <w:r w:rsidR="00616464">
              <w:t xml:space="preserve"> </w:t>
            </w:r>
            <w:r>
              <w:t>to ensure alignment with obligations under proposed climate change regulations for larger health services.</w:t>
            </w:r>
          </w:p>
        </w:tc>
        <w:tc>
          <w:tcPr>
            <w:tcW w:w="2268" w:type="dxa"/>
            <w:shd w:val="clear" w:color="auto" w:fill="F7A4BE"/>
          </w:tcPr>
          <w:p w14:paraId="49160EB3" w14:textId="3B427EAD" w:rsidR="009019B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H</w:t>
            </w:r>
            <w:r>
              <w:t>ealth services update EMPs prior to</w:t>
            </w:r>
            <w:r w:rsidR="00616464">
              <w:t xml:space="preserve"> the</w:t>
            </w:r>
            <w:r>
              <w:t xml:space="preserve"> template being released</w:t>
            </w:r>
          </w:p>
          <w:p w14:paraId="1C460572" w14:textId="01028E6A" w:rsidR="003A3E6C" w:rsidRPr="00521345" w:rsidRDefault="003A3E6C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A</w:t>
            </w:r>
            <w:r>
              <w:t xml:space="preserve">llow gradual adoption of </w:t>
            </w:r>
            <w:r w:rsidR="00616464">
              <w:t xml:space="preserve">the </w:t>
            </w:r>
            <w:r>
              <w:t>new EMP template</w:t>
            </w:r>
          </w:p>
        </w:tc>
        <w:tc>
          <w:tcPr>
            <w:tcW w:w="1418" w:type="dxa"/>
            <w:shd w:val="clear" w:color="auto" w:fill="F7A4BE"/>
          </w:tcPr>
          <w:p w14:paraId="4258F337" w14:textId="568764FA" w:rsidR="009019B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Mid-</w:t>
            </w:r>
            <w:r w:rsidR="001C3C88">
              <w:t>2019</w:t>
            </w:r>
          </w:p>
        </w:tc>
        <w:tc>
          <w:tcPr>
            <w:tcW w:w="1134" w:type="dxa"/>
            <w:shd w:val="clear" w:color="auto" w:fill="FFC000"/>
          </w:tcPr>
          <w:p w14:paraId="00728164" w14:textId="69450BE9" w:rsidR="009019BC" w:rsidRPr="00AF7D10" w:rsidRDefault="00AF7D10" w:rsidP="00D10BC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9019BC" w14:paraId="163D6276" w14:textId="43DA9040" w:rsidTr="00956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123C48B9" w14:textId="46715F45" w:rsidR="009019BC" w:rsidRPr="00457E06" w:rsidRDefault="009019B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Establish a waste mentoring program for public hospitals and health services staff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EFAB0F1" w14:textId="1EF3A877" w:rsidR="009019BC" w:rsidRPr="00521345" w:rsidRDefault="00BD5031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019BC">
              <w:t xml:space="preserve"> facilitator </w:t>
            </w:r>
            <w:r>
              <w:t xml:space="preserve">has been engaged </w:t>
            </w:r>
            <w:r w:rsidR="009019BC">
              <w:t>to host six workshops</w:t>
            </w:r>
            <w:r w:rsidR="003401CA">
              <w:t xml:space="preserve"> </w:t>
            </w:r>
            <w:r>
              <w:t>to</w:t>
            </w:r>
            <w:r w:rsidR="009019BC">
              <w:t xml:space="preserve"> support health service staff to develop a waste management implementation plan for a single waste stream in a ward or department.</w:t>
            </w:r>
          </w:p>
        </w:tc>
        <w:tc>
          <w:tcPr>
            <w:tcW w:w="2268" w:type="dxa"/>
            <w:shd w:val="clear" w:color="auto" w:fill="F7A4BE"/>
          </w:tcPr>
          <w:p w14:paraId="74C2DEDB" w14:textId="5A1E2AA2" w:rsidR="009019BC" w:rsidRDefault="009019B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616464">
              <w:t>L</w:t>
            </w:r>
            <w:r>
              <w:t>ow interest for workshops</w:t>
            </w:r>
          </w:p>
          <w:p w14:paraId="03834D2A" w14:textId="022F2017" w:rsidR="009019BC" w:rsidRPr="00521345" w:rsidRDefault="009019B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425E59">
              <w:t>C</w:t>
            </w:r>
            <w:r>
              <w:t>ommunicat</w:t>
            </w:r>
            <w:r w:rsidR="00425E59">
              <w:t>e about the</w:t>
            </w:r>
            <w:r>
              <w:t xml:space="preserve"> benefits of </w:t>
            </w:r>
            <w:r w:rsidR="00425E59">
              <w:t xml:space="preserve">the </w:t>
            </w:r>
            <w:r>
              <w:t>workshop</w:t>
            </w:r>
          </w:p>
        </w:tc>
        <w:tc>
          <w:tcPr>
            <w:tcW w:w="1418" w:type="dxa"/>
            <w:shd w:val="clear" w:color="auto" w:fill="F7A4BE"/>
          </w:tcPr>
          <w:p w14:paraId="23DF2B91" w14:textId="20ADECDF" w:rsidR="009019BC" w:rsidRPr="00521345" w:rsidRDefault="00BE76DA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2019</w:t>
            </w:r>
          </w:p>
        </w:tc>
        <w:tc>
          <w:tcPr>
            <w:tcW w:w="1134" w:type="dxa"/>
            <w:shd w:val="clear" w:color="auto" w:fill="92D050"/>
          </w:tcPr>
          <w:p w14:paraId="32DCC690" w14:textId="7BE4F927" w:rsidR="009019BC" w:rsidRPr="00521345" w:rsidRDefault="00AF7D10" w:rsidP="000B15C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</w:tbl>
    <w:p w14:paraId="5A66A6F9" w14:textId="77777777" w:rsidR="005E5C86" w:rsidRDefault="005E5C86">
      <w:pPr>
        <w:rPr>
          <w:rFonts w:ascii="Arial" w:eastAsia="Times" w:hAnsi="Arial"/>
        </w:rPr>
      </w:pPr>
      <w:r>
        <w:br w:type="page"/>
      </w:r>
    </w:p>
    <w:p w14:paraId="35B7642C" w14:textId="64EEC00F" w:rsidR="005E5C86" w:rsidRDefault="005E5C86" w:rsidP="005E5C86">
      <w:pPr>
        <w:pStyle w:val="Heading1"/>
      </w:pPr>
      <w:r>
        <w:lastRenderedPageBreak/>
        <w:t xml:space="preserve">Strategic direction 2: </w:t>
      </w:r>
      <w:r w:rsidR="00AE188D">
        <w:t>I</w:t>
      </w:r>
      <w:r>
        <w:t>mprove the environmental performance of the health system</w:t>
      </w:r>
    </w:p>
    <w:tbl>
      <w:tblPr>
        <w:tblStyle w:val="MediumGrid3-Accent4"/>
        <w:tblW w:w="14306" w:type="dxa"/>
        <w:tblLayout w:type="fixed"/>
        <w:tblLook w:val="04A0" w:firstRow="1" w:lastRow="0" w:firstColumn="1" w:lastColumn="0" w:noHBand="0" w:noVBand="1"/>
      </w:tblPr>
      <w:tblGrid>
        <w:gridCol w:w="4668"/>
        <w:gridCol w:w="4961"/>
        <w:gridCol w:w="2125"/>
        <w:gridCol w:w="1418"/>
        <w:gridCol w:w="1134"/>
      </w:tblGrid>
      <w:tr w:rsidR="003A3E6C" w14:paraId="7B9F9D80" w14:textId="77777777" w:rsidTr="00F51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bottom w:val="single" w:sz="12" w:space="0" w:color="FFFFFF" w:themeColor="background1"/>
            </w:tcBorders>
          </w:tcPr>
          <w:p w14:paraId="625F5C15" w14:textId="364AF803" w:rsidR="003A3E6C" w:rsidRPr="00B16D94" w:rsidRDefault="003A3E6C" w:rsidP="00B16D94">
            <w:pPr>
              <w:pStyle w:val="DHHStablecolhead"/>
              <w:rPr>
                <w:b/>
              </w:rPr>
            </w:pPr>
            <w:r w:rsidRPr="00B16D94">
              <w:rPr>
                <w:b/>
              </w:rPr>
              <w:t>2018</w:t>
            </w:r>
            <w:r w:rsidR="00457E06" w:rsidRPr="00B16D94">
              <w:rPr>
                <w:b/>
              </w:rPr>
              <w:t>–</w:t>
            </w:r>
            <w:r w:rsidRPr="00B16D94">
              <w:rPr>
                <w:b/>
              </w:rPr>
              <w:t>19 action</w:t>
            </w:r>
          </w:p>
        </w:tc>
        <w:tc>
          <w:tcPr>
            <w:tcW w:w="4961" w:type="dxa"/>
            <w:tcBorders>
              <w:bottom w:val="single" w:sz="12" w:space="0" w:color="FFFFFF" w:themeColor="background1"/>
            </w:tcBorders>
          </w:tcPr>
          <w:p w14:paraId="7F5C6CAA" w14:textId="77777777" w:rsidR="003A3E6C" w:rsidRPr="00B16D94" w:rsidRDefault="003A3E6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Progress as of 28 February 2019</w:t>
            </w:r>
          </w:p>
        </w:tc>
        <w:tc>
          <w:tcPr>
            <w:tcW w:w="2125" w:type="dxa"/>
            <w:tcBorders>
              <w:bottom w:val="single" w:sz="12" w:space="0" w:color="FFFFFF" w:themeColor="background1"/>
            </w:tcBorders>
          </w:tcPr>
          <w:p w14:paraId="17C1AA33" w14:textId="77777777" w:rsidR="003A3E6C" w:rsidRPr="00B16D94" w:rsidRDefault="003A3E6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Risks</w:t>
            </w:r>
          </w:p>
        </w:tc>
        <w:tc>
          <w:tcPr>
            <w:tcW w:w="1418" w:type="dxa"/>
            <w:tcBorders>
              <w:bottom w:val="single" w:sz="12" w:space="0" w:color="FFFFFF" w:themeColor="background1"/>
            </w:tcBorders>
          </w:tcPr>
          <w:p w14:paraId="7BAB247D" w14:textId="77777777" w:rsidR="003A3E6C" w:rsidRPr="00B16D94" w:rsidRDefault="003A3E6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Target completion</w:t>
            </w:r>
          </w:p>
        </w:tc>
        <w:tc>
          <w:tcPr>
            <w:tcW w:w="1134" w:type="dxa"/>
            <w:tcBorders>
              <w:bottom w:val="single" w:sz="12" w:space="0" w:color="FFFFFF" w:themeColor="background1"/>
            </w:tcBorders>
          </w:tcPr>
          <w:p w14:paraId="6FA3D7ED" w14:textId="77777777" w:rsidR="003A3E6C" w:rsidRPr="00B16D94" w:rsidRDefault="003A3E6C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Status</w:t>
            </w:r>
          </w:p>
        </w:tc>
      </w:tr>
      <w:tr w:rsidR="003A3E6C" w14:paraId="63FA3884" w14:textId="77777777" w:rsidTr="001B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356A21D3" w14:textId="0A711805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Pilot methodologies to implement sustainable travel opportunities in two metropolitan hospitals 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7A4BE"/>
          </w:tcPr>
          <w:p w14:paraId="43A06BE7" w14:textId="15218D3A" w:rsidR="003A3E6C" w:rsidRPr="00521345" w:rsidRDefault="001B43A4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Discussions are ongoing with</w:t>
            </w:r>
            <w:r w:rsidR="00071105">
              <w:t xml:space="preserve"> selected</w:t>
            </w:r>
            <w:r w:rsidR="00265379">
              <w:t xml:space="preserve"> </w:t>
            </w:r>
            <w:r>
              <w:t xml:space="preserve">metropolitan </w:t>
            </w:r>
            <w:r w:rsidR="00265379">
              <w:t>health services</w:t>
            </w:r>
            <w:r>
              <w:t xml:space="preserve"> on defining the scope and location of the pilot projects.</w:t>
            </w:r>
          </w:p>
        </w:tc>
        <w:tc>
          <w:tcPr>
            <w:tcW w:w="2125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091B9243" w14:textId="75195F88" w:rsidR="003A3E6C" w:rsidRDefault="001B43A4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D</w:t>
            </w:r>
            <w:r>
              <w:t>efinition of scope and health service engagement</w:t>
            </w:r>
          </w:p>
          <w:p w14:paraId="615BE0CC" w14:textId="6972D971" w:rsidR="001B43A4" w:rsidRPr="00521345" w:rsidRDefault="001B43A4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>
              <w:t>ontinued collaboration with health services</w:t>
            </w:r>
          </w:p>
        </w:tc>
        <w:tc>
          <w:tcPr>
            <w:tcW w:w="1418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1CCBDD2F" w14:textId="440DFEDB" w:rsidR="003A3E6C" w:rsidRPr="00521345" w:rsidRDefault="00BD5031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</w:t>
            </w:r>
            <w:r w:rsidR="001B43A4">
              <w:t xml:space="preserve"> 2019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</w:tcBorders>
            <w:shd w:val="clear" w:color="auto" w:fill="FFC000"/>
          </w:tcPr>
          <w:p w14:paraId="53F11D34" w14:textId="5F66D502" w:rsidR="003A3E6C" w:rsidRPr="00521345" w:rsidRDefault="00AF7D10" w:rsidP="003A3E6C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3A3E6C" w14:paraId="363C85C0" w14:textId="77777777" w:rsidTr="00610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11571DFC" w14:textId="760CB9C3" w:rsidR="003A3E6C" w:rsidRPr="00457E06" w:rsidRDefault="00D771F5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HPV</w:t>
            </w:r>
            <w:r w:rsidR="003A3E6C" w:rsidRPr="00457E06">
              <w:rPr>
                <w:b w:val="0"/>
                <w:color w:val="auto"/>
              </w:rPr>
              <w:t xml:space="preserve"> will source a food organics recycling service offer for metropolitan hospitals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562613F4" w14:textId="613F5564" w:rsidR="003A3E6C" w:rsidRPr="00521345" w:rsidRDefault="00D771F5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HPV</w:t>
            </w:r>
            <w:r w:rsidR="00610F8C">
              <w:t xml:space="preserve"> is working with the existing waste contractor to establish a pilot across </w:t>
            </w:r>
            <w:proofErr w:type="gramStart"/>
            <w:r w:rsidR="00610F8C">
              <w:t>a number of</w:t>
            </w:r>
            <w:proofErr w:type="gramEnd"/>
            <w:r w:rsidR="00610F8C">
              <w:t xml:space="preserve"> metropolitan hospitals.</w:t>
            </w:r>
          </w:p>
        </w:tc>
        <w:tc>
          <w:tcPr>
            <w:tcW w:w="2125" w:type="dxa"/>
            <w:shd w:val="clear" w:color="auto" w:fill="F7A4BE"/>
          </w:tcPr>
          <w:p w14:paraId="06AF16F4" w14:textId="55BBB85D" w:rsidR="003A3E6C" w:rsidRDefault="00610F8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P</w:t>
            </w:r>
            <w:r>
              <w:t>robity with respect to new waste procurement activities</w:t>
            </w:r>
          </w:p>
          <w:p w14:paraId="0DD85574" w14:textId="1D9CBC3A" w:rsidR="00BD5031" w:rsidRPr="00521345" w:rsidRDefault="00BD5031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F</w:t>
            </w:r>
            <w:r>
              <w:t>ollow probity requirements</w:t>
            </w:r>
          </w:p>
        </w:tc>
        <w:tc>
          <w:tcPr>
            <w:tcW w:w="1418" w:type="dxa"/>
            <w:shd w:val="clear" w:color="auto" w:fill="F7A4BE"/>
          </w:tcPr>
          <w:p w14:paraId="3F530680" w14:textId="20EDBAE3" w:rsidR="003A3E6C" w:rsidRPr="00521345" w:rsidRDefault="00610F8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</w:t>
            </w:r>
            <w:r w:rsidR="00D771F5">
              <w:t>-</w:t>
            </w:r>
            <w:r>
              <w:t>2019</w:t>
            </w:r>
          </w:p>
        </w:tc>
        <w:tc>
          <w:tcPr>
            <w:tcW w:w="1134" w:type="dxa"/>
            <w:shd w:val="clear" w:color="auto" w:fill="FFC000"/>
          </w:tcPr>
          <w:p w14:paraId="6F2D41A7" w14:textId="07068912" w:rsidR="003A3E6C" w:rsidRPr="00521345" w:rsidRDefault="00AF7D10" w:rsidP="003A3E6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3A3E6C" w14:paraId="3727CDDE" w14:textId="77777777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4AE3E7BF" w14:textId="255D90E2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>Prepare guidance for public hospitals and health services to improve the efficiency of their vehicle fleet</w:t>
            </w:r>
            <w:r w:rsidR="00364F33">
              <w:rPr>
                <w:b w:val="0"/>
                <w:color w:val="auto"/>
              </w:rPr>
              <w:t>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AA01F56" w14:textId="118BF895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21">
              <w:t>A c</w:t>
            </w:r>
            <w:r>
              <w:t>onsultant has been engaged to prepare guidance to improve the efficiency of hospital vehicle fleets. The project team is engaging with health services</w:t>
            </w:r>
            <w:r w:rsidR="00364F33">
              <w:t>,</w:t>
            </w:r>
            <w:r>
              <w:t xml:space="preserve"> and the project is due for completion in April 2019.</w:t>
            </w:r>
          </w:p>
        </w:tc>
        <w:tc>
          <w:tcPr>
            <w:tcW w:w="2125" w:type="dxa"/>
            <w:shd w:val="clear" w:color="auto" w:fill="F7A4BE"/>
          </w:tcPr>
          <w:p w14:paraId="778722E6" w14:textId="5B276AAF" w:rsidR="003A3E6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BF7D9E">
              <w:t>F</w:t>
            </w:r>
            <w:r>
              <w:t>leet managers do not support efficiency initiatives</w:t>
            </w:r>
          </w:p>
          <w:p w14:paraId="7275356E" w14:textId="12349BB6" w:rsidR="003A3E6C" w:rsidRDefault="003A3E6C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E</w:t>
            </w:r>
            <w:r>
              <w:t>arly engagement with fleet managers</w:t>
            </w:r>
          </w:p>
        </w:tc>
        <w:tc>
          <w:tcPr>
            <w:tcW w:w="1418" w:type="dxa"/>
            <w:shd w:val="clear" w:color="auto" w:fill="F7A4BE"/>
          </w:tcPr>
          <w:p w14:paraId="158FBDD7" w14:textId="00B36355" w:rsidR="003A3E6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2019</w:t>
            </w:r>
          </w:p>
        </w:tc>
        <w:tc>
          <w:tcPr>
            <w:tcW w:w="1134" w:type="dxa"/>
            <w:shd w:val="clear" w:color="auto" w:fill="92D050"/>
          </w:tcPr>
          <w:p w14:paraId="4672A4C4" w14:textId="1A375AC9" w:rsidR="003A3E6C" w:rsidRPr="00521345" w:rsidRDefault="00AF7D10" w:rsidP="003A3E6C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3A3E6C" w14:paraId="2DF322BE" w14:textId="77777777" w:rsidTr="00F5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0D118F40" w14:textId="795747B3" w:rsidR="003A3E6C" w:rsidRPr="00457E06" w:rsidRDefault="003A3E6C" w:rsidP="006F2E6F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>Deliver the Regional Health Solar Program in the Barwon</w:t>
            </w:r>
            <w:r w:rsidR="00364F33">
              <w:rPr>
                <w:b w:val="0"/>
                <w:color w:val="auto"/>
              </w:rPr>
              <w:t xml:space="preserve"> </w:t>
            </w:r>
            <w:r w:rsidRPr="00457E06">
              <w:rPr>
                <w:b w:val="0"/>
                <w:color w:val="auto"/>
              </w:rPr>
              <w:t>South</w:t>
            </w:r>
            <w:r w:rsidR="00364F33">
              <w:rPr>
                <w:b w:val="0"/>
                <w:color w:val="auto"/>
              </w:rPr>
              <w:t xml:space="preserve"> W</w:t>
            </w:r>
            <w:r w:rsidRPr="00457E06">
              <w:rPr>
                <w:b w:val="0"/>
                <w:color w:val="auto"/>
              </w:rPr>
              <w:t>estern, Grampians, Loddon</w:t>
            </w:r>
            <w:r w:rsidR="00364F33">
              <w:rPr>
                <w:b w:val="0"/>
                <w:color w:val="auto"/>
              </w:rPr>
              <w:t xml:space="preserve"> </w:t>
            </w:r>
            <w:r w:rsidRPr="00457E06">
              <w:rPr>
                <w:b w:val="0"/>
                <w:color w:val="auto"/>
              </w:rPr>
              <w:t>Mallee and Hume regions</w:t>
            </w:r>
            <w:r w:rsidR="00C55E7A">
              <w:rPr>
                <w:b w:val="0"/>
                <w:color w:val="auto"/>
              </w:rPr>
              <w:t>,</w:t>
            </w:r>
            <w:r w:rsidRPr="00457E06">
              <w:rPr>
                <w:b w:val="0"/>
                <w:color w:val="auto"/>
              </w:rPr>
              <w:t xml:space="preserve"> and progress energy performance contracts at Northern Health and Peninsula Health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CD5CC5F" w14:textId="273FAC72" w:rsidR="00BD5031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tender has been awarded to install 2</w:t>
            </w:r>
            <w:r w:rsidR="00BD5031">
              <w:t>.2</w:t>
            </w:r>
            <w:r>
              <w:t xml:space="preserve"> </w:t>
            </w:r>
            <w:r w:rsidR="00BD5031">
              <w:t>mega</w:t>
            </w:r>
            <w:r>
              <w:t>watt-peak of solar across 15 sites in the Barwon</w:t>
            </w:r>
            <w:r w:rsidR="00364F33">
              <w:t xml:space="preserve"> </w:t>
            </w:r>
            <w:r>
              <w:t>South</w:t>
            </w:r>
            <w:r w:rsidR="00364F33">
              <w:t xml:space="preserve"> W</w:t>
            </w:r>
            <w:r>
              <w:t xml:space="preserve">estern region. </w:t>
            </w:r>
          </w:p>
          <w:p w14:paraId="151B71E6" w14:textId="229282A4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tender for 1</w:t>
            </w:r>
            <w:r w:rsidR="00692A1D">
              <w:t>.</w:t>
            </w:r>
            <w:r>
              <w:t xml:space="preserve">4 </w:t>
            </w:r>
            <w:r w:rsidR="00BD5031">
              <w:t>mega</w:t>
            </w:r>
            <w:r>
              <w:t>watt-peak of solar across 19 sites in the Hume region close</w:t>
            </w:r>
            <w:r w:rsidR="00E11AA0">
              <w:t>d</w:t>
            </w:r>
            <w:r>
              <w:t xml:space="preserve"> on 24 January 2019. Tenders for the Loddon</w:t>
            </w:r>
            <w:r w:rsidR="00364F33">
              <w:t xml:space="preserve"> </w:t>
            </w:r>
            <w:r>
              <w:t>Mallee and Grampians regions closed</w:t>
            </w:r>
            <w:r w:rsidR="00E11AA0">
              <w:t xml:space="preserve"> on</w:t>
            </w:r>
            <w:r>
              <w:t xml:space="preserve"> 26 February 2019.</w:t>
            </w:r>
          </w:p>
          <w:p w14:paraId="2751FE10" w14:textId="77777777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Practical completion of the Peninsula Health energy performance contract is due in mid-2019.</w:t>
            </w:r>
          </w:p>
          <w:p w14:paraId="75B1364E" w14:textId="6037A8BC" w:rsidR="003A3E6C" w:rsidRPr="00521345" w:rsidRDefault="003A3E6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Northern Health detailed facility study has </w:t>
            </w:r>
            <w:r w:rsidR="00364F33">
              <w:t xml:space="preserve">begun </w:t>
            </w:r>
            <w:r>
              <w:t xml:space="preserve">and is due for completion in the first quarter of 2019. Works are expected to </w:t>
            </w:r>
            <w:r w:rsidR="00364F33">
              <w:t xml:space="preserve">start </w:t>
            </w:r>
            <w:r>
              <w:t>on site in mid</w:t>
            </w:r>
            <w:r w:rsidR="00364F33">
              <w:t>–</w:t>
            </w:r>
            <w:r w:rsidR="00E11AA0">
              <w:t xml:space="preserve">late </w:t>
            </w:r>
            <w:r>
              <w:t>2019.</w:t>
            </w:r>
          </w:p>
        </w:tc>
        <w:tc>
          <w:tcPr>
            <w:tcW w:w="2125" w:type="dxa"/>
            <w:shd w:val="clear" w:color="auto" w:fill="F7A4BE"/>
          </w:tcPr>
          <w:p w14:paraId="1E606A08" w14:textId="5251187A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Risk: </w:t>
            </w:r>
            <w:r w:rsidR="00BF7D9E">
              <w:t>I</w:t>
            </w:r>
            <w:r>
              <w:t>nsufficient funding to deliver all identified opportunities</w:t>
            </w:r>
          </w:p>
          <w:p w14:paraId="231B62D0" w14:textId="0C24D48B" w:rsidR="003A3E6C" w:rsidRPr="00521345" w:rsidRDefault="003A3E6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>
              <w:t xml:space="preserve">ollect data to build the business case and </w:t>
            </w:r>
            <w:r>
              <w:lastRenderedPageBreak/>
              <w:t>continue to engage with Treasury to secure funding</w:t>
            </w:r>
          </w:p>
        </w:tc>
        <w:tc>
          <w:tcPr>
            <w:tcW w:w="1418" w:type="dxa"/>
            <w:shd w:val="clear" w:color="auto" w:fill="F7A4BE"/>
          </w:tcPr>
          <w:p w14:paraId="6CAA9C07" w14:textId="1E2CFEAC" w:rsidR="003A3E6C" w:rsidRPr="00521345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Late 2020</w:t>
            </w:r>
          </w:p>
        </w:tc>
        <w:tc>
          <w:tcPr>
            <w:tcW w:w="1134" w:type="dxa"/>
            <w:shd w:val="clear" w:color="auto" w:fill="92D050"/>
          </w:tcPr>
          <w:p w14:paraId="6830A9E8" w14:textId="58A2902F" w:rsidR="003A3E6C" w:rsidRPr="00521345" w:rsidRDefault="00AF7D10" w:rsidP="003A3E6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3A3E6C" w14:paraId="5F2D0D7F" w14:textId="77777777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6388975B" w14:textId="314B1ED0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>Pilot single-use metal recycling and behavioural change programs to improve waste segregation in hospital</w:t>
            </w:r>
            <w:r w:rsidR="003401CA" w:rsidRPr="00457E06">
              <w:rPr>
                <w:b w:val="0"/>
                <w:color w:val="auto"/>
              </w:rPr>
              <w:t>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2B8FA0F5" w14:textId="77777777" w:rsidR="003A3E6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Behaviour Works has been engaged to conduct research into behavioural barriers and potential interventions regarding waste management in theatre departments. Ethics approval for the research </w:t>
            </w:r>
            <w:r w:rsidR="003401CA">
              <w:t>i</w:t>
            </w:r>
            <w:r>
              <w:t xml:space="preserve">s </w:t>
            </w:r>
            <w:r w:rsidR="003401CA">
              <w:t>nearing finalisation</w:t>
            </w:r>
            <w:r>
              <w:t>.</w:t>
            </w:r>
          </w:p>
          <w:p w14:paraId="0A237114" w14:textId="56CA1644" w:rsidR="00664158" w:rsidRPr="00521345" w:rsidRDefault="00664158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</w:t>
            </w:r>
            <w:r w:rsidR="00364F33">
              <w:t>expression of interest document</w:t>
            </w:r>
            <w:r>
              <w:t xml:space="preserve"> has been released to select a pilot site for single</w:t>
            </w:r>
            <w:r w:rsidR="00364F33">
              <w:t>-</w:t>
            </w:r>
            <w:r>
              <w:t>use metal recycling.</w:t>
            </w:r>
          </w:p>
        </w:tc>
        <w:tc>
          <w:tcPr>
            <w:tcW w:w="2125" w:type="dxa"/>
            <w:shd w:val="clear" w:color="auto" w:fill="F7A4BE"/>
          </w:tcPr>
          <w:p w14:paraId="5181FA9E" w14:textId="3D3E303B" w:rsidR="003A3E6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3401CA">
              <w:t>Delays in securing ethics</w:t>
            </w:r>
          </w:p>
          <w:p w14:paraId="327E59B9" w14:textId="027854F8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Mitigation: Original project timeline allows for delays in delivery</w:t>
            </w:r>
          </w:p>
        </w:tc>
        <w:tc>
          <w:tcPr>
            <w:tcW w:w="1418" w:type="dxa"/>
            <w:shd w:val="clear" w:color="auto" w:fill="F7A4BE"/>
          </w:tcPr>
          <w:p w14:paraId="3444E739" w14:textId="5D607234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2019</w:t>
            </w:r>
          </w:p>
        </w:tc>
        <w:tc>
          <w:tcPr>
            <w:tcW w:w="1134" w:type="dxa"/>
            <w:shd w:val="clear" w:color="auto" w:fill="FFC000"/>
          </w:tcPr>
          <w:p w14:paraId="52674774" w14:textId="20C52BC4" w:rsidR="003A3E6C" w:rsidRPr="00521345" w:rsidRDefault="00AF7D10" w:rsidP="003A3E6C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3A3E6C" w14:paraId="1F860520" w14:textId="77777777" w:rsidTr="00F5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5E6BB19A" w14:textId="4E6A7946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Work with the Vinyl Council of Australia to increase PVC recycling in </w:t>
            </w:r>
            <w:r w:rsidR="003401CA" w:rsidRPr="00457E06">
              <w:rPr>
                <w:b w:val="0"/>
                <w:color w:val="auto"/>
              </w:rPr>
              <w:t xml:space="preserve">metropolitan </w:t>
            </w:r>
            <w:r w:rsidRPr="00457E06">
              <w:rPr>
                <w:b w:val="0"/>
                <w:color w:val="auto"/>
              </w:rPr>
              <w:t>public hospitals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352B826" w14:textId="032542C4" w:rsidR="003A3E6C" w:rsidRPr="00521345" w:rsidRDefault="00BD5031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616464">
              <w:t>m</w:t>
            </w:r>
            <w:r w:rsidR="003A3E6C">
              <w:t xml:space="preserve">emorandum of </w:t>
            </w:r>
            <w:r w:rsidR="00616464">
              <w:t>u</w:t>
            </w:r>
            <w:r w:rsidR="003A3E6C">
              <w:t xml:space="preserve">nderstanding between the department and </w:t>
            </w:r>
            <w:r w:rsidR="00364F33">
              <w:t xml:space="preserve">the </w:t>
            </w:r>
            <w:r w:rsidR="003A3E6C">
              <w:t>Vinyl Council of Australia was signed on 22 January 2019. The project seeks to i</w:t>
            </w:r>
            <w:r w:rsidR="003A3E6C" w:rsidRPr="00C97D05">
              <w:t xml:space="preserve">ncrease the quantity of PVC recovered from </w:t>
            </w:r>
            <w:r w:rsidR="003A3E6C">
              <w:t xml:space="preserve">32 </w:t>
            </w:r>
            <w:r w:rsidR="003A3E6C" w:rsidRPr="00C97D05">
              <w:t xml:space="preserve">public hospitals </w:t>
            </w:r>
            <w:r w:rsidR="00364F33">
              <w:t xml:space="preserve">in </w:t>
            </w:r>
            <w:r w:rsidR="003A3E6C" w:rsidRPr="00C97D05">
              <w:t>Melbourne by establish</w:t>
            </w:r>
            <w:r w:rsidR="003A3E6C">
              <w:t xml:space="preserve">ing PVC collections in </w:t>
            </w:r>
            <w:r w:rsidR="003A3E6C" w:rsidRPr="00C97D05">
              <w:t>theatre, renal and intensive care departments</w:t>
            </w:r>
            <w:r w:rsidR="003A3E6C">
              <w:t>.</w:t>
            </w:r>
          </w:p>
        </w:tc>
        <w:tc>
          <w:tcPr>
            <w:tcW w:w="2125" w:type="dxa"/>
            <w:shd w:val="clear" w:color="auto" w:fill="F7A4BE"/>
          </w:tcPr>
          <w:p w14:paraId="183F38C4" w14:textId="477EFB12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Risks: </w:t>
            </w:r>
            <w:r w:rsidR="00BF7D9E">
              <w:t>D</w:t>
            </w:r>
            <w:r w:rsidR="0094038A">
              <w:t>ifficulties in building PVC recycling into departmental practices</w:t>
            </w:r>
          </w:p>
          <w:p w14:paraId="1F867C3E" w14:textId="6D72BF46" w:rsidR="003A3E6C" w:rsidRPr="00521345" w:rsidRDefault="003A3E6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 w:rsidR="00F51CB7">
              <w:t>ollaboration with health services and communication of</w:t>
            </w:r>
            <w:r w:rsidR="009C5E8F">
              <w:t xml:space="preserve"> the</w:t>
            </w:r>
            <w:r w:rsidR="00F51CB7">
              <w:t xml:space="preserve"> benefits</w:t>
            </w:r>
          </w:p>
        </w:tc>
        <w:tc>
          <w:tcPr>
            <w:tcW w:w="1418" w:type="dxa"/>
            <w:shd w:val="clear" w:color="auto" w:fill="F7A4BE"/>
          </w:tcPr>
          <w:p w14:paraId="05590B34" w14:textId="37ABB4A6" w:rsidR="003A3E6C" w:rsidRPr="00521345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2019</w:t>
            </w:r>
          </w:p>
        </w:tc>
        <w:tc>
          <w:tcPr>
            <w:tcW w:w="1134" w:type="dxa"/>
            <w:shd w:val="clear" w:color="auto" w:fill="92D050"/>
          </w:tcPr>
          <w:p w14:paraId="440F719A" w14:textId="6F8239A2" w:rsidR="003A3E6C" w:rsidRPr="00521345" w:rsidRDefault="00AF7D10" w:rsidP="003A3E6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3A3E6C" w14:paraId="5CDB256E" w14:textId="77777777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737F70D7" w14:textId="513E1813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>Prepare new sustainability guidelines for capital works delivered by the Victorian Health and Human Services Building Authority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7B18EE99" w14:textId="02B5D359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consultant has been engaged to update VHHSBA’s sustainability guidelines for capital works</w:t>
            </w:r>
            <w:r w:rsidRPr="00BD0501">
              <w:t>.</w:t>
            </w:r>
            <w:r>
              <w:t xml:space="preserve"> The specification includes requirements to integrate methodologies to assist with deliver</w:t>
            </w:r>
            <w:r w:rsidR="009C5E8F">
              <w:t>ing</w:t>
            </w:r>
            <w:r>
              <w:t xml:space="preserve"> carbon</w:t>
            </w:r>
            <w:r w:rsidR="009C5E8F">
              <w:t>-</w:t>
            </w:r>
            <w:r>
              <w:t>neutral and climate</w:t>
            </w:r>
            <w:r w:rsidR="009C5E8F">
              <w:t>-</w:t>
            </w:r>
            <w:r>
              <w:t>resilient buildings.</w:t>
            </w:r>
          </w:p>
        </w:tc>
        <w:tc>
          <w:tcPr>
            <w:tcW w:w="2125" w:type="dxa"/>
            <w:shd w:val="clear" w:color="auto" w:fill="F7A4BE"/>
          </w:tcPr>
          <w:p w14:paraId="4E2F07C8" w14:textId="1479A738" w:rsidR="003A3E6C" w:rsidRPr="00BD0501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501">
              <w:t xml:space="preserve">Risks: </w:t>
            </w:r>
            <w:r w:rsidR="00BF7D9E">
              <w:t>D</w:t>
            </w:r>
            <w:r>
              <w:t xml:space="preserve">elivering desired outcomes within capital project </w:t>
            </w:r>
            <w:r w:rsidR="00BD5031">
              <w:t>budgets</w:t>
            </w:r>
          </w:p>
          <w:p w14:paraId="06866596" w14:textId="1A96C5FD" w:rsidR="003A3E6C" w:rsidRPr="00521345" w:rsidRDefault="003A3E6C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501">
              <w:t xml:space="preserve">Mitigation: </w:t>
            </w:r>
            <w:r w:rsidR="00BF7D9E">
              <w:t>E</w:t>
            </w:r>
            <w:r>
              <w:t>ngage independent quantity surveyor to advise on whole</w:t>
            </w:r>
            <w:r w:rsidR="00FA2A6C">
              <w:t>-</w:t>
            </w:r>
            <w:r>
              <w:t>of</w:t>
            </w:r>
            <w:r w:rsidR="00FA2A6C">
              <w:t>-</w:t>
            </w:r>
            <w:r>
              <w:t>life costs and benefits</w:t>
            </w:r>
          </w:p>
        </w:tc>
        <w:tc>
          <w:tcPr>
            <w:tcW w:w="1418" w:type="dxa"/>
            <w:shd w:val="clear" w:color="auto" w:fill="F7A4BE"/>
          </w:tcPr>
          <w:p w14:paraId="6CF3E4A9" w14:textId="2867A905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 2019</w:t>
            </w:r>
          </w:p>
        </w:tc>
        <w:tc>
          <w:tcPr>
            <w:tcW w:w="1134" w:type="dxa"/>
            <w:shd w:val="clear" w:color="auto" w:fill="FFC000"/>
          </w:tcPr>
          <w:p w14:paraId="639817EF" w14:textId="472CC8D5" w:rsidR="003A3E6C" w:rsidRPr="00521345" w:rsidRDefault="00AF7D10" w:rsidP="003A3E6C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3A3E6C" w14:paraId="2137AC5B" w14:textId="77777777" w:rsidTr="00610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131EE3C4" w14:textId="25363DE6" w:rsidR="003A3E6C" w:rsidRPr="00457E06" w:rsidRDefault="00616464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HPV</w:t>
            </w:r>
            <w:r w:rsidR="003A3E6C" w:rsidRPr="00457E06">
              <w:rPr>
                <w:b w:val="0"/>
                <w:color w:val="auto"/>
              </w:rPr>
              <w:t xml:space="preserve"> will review opportunities to reduce greenhouse gas emissions from anaesthetic gases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23149765" w14:textId="238FDE27" w:rsidR="003A3E6C" w:rsidRPr="00521345" w:rsidRDefault="00265379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Discussions are </w:t>
            </w:r>
            <w:r w:rsidR="00E11AA0">
              <w:t>underway</w:t>
            </w:r>
            <w:r>
              <w:t xml:space="preserve"> with the pharmaceutical sourcing team on impacts, benefits and evidence and how to engage with hospital pharmacy customers.</w:t>
            </w:r>
          </w:p>
        </w:tc>
        <w:tc>
          <w:tcPr>
            <w:tcW w:w="2125" w:type="dxa"/>
            <w:shd w:val="clear" w:color="auto" w:fill="F7A4BE"/>
          </w:tcPr>
          <w:p w14:paraId="6800B237" w14:textId="2CF162DE" w:rsidR="003A3E6C" w:rsidRPr="00521345" w:rsidRDefault="00610F8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Risks: </w:t>
            </w:r>
            <w:r w:rsidR="00BF7D9E">
              <w:t>R</w:t>
            </w:r>
            <w:r>
              <w:t>esourcing</w:t>
            </w:r>
          </w:p>
        </w:tc>
        <w:tc>
          <w:tcPr>
            <w:tcW w:w="1418" w:type="dxa"/>
            <w:shd w:val="clear" w:color="auto" w:fill="F7A4BE"/>
          </w:tcPr>
          <w:p w14:paraId="7DC1CE7B" w14:textId="436AAEF9" w:rsidR="003A3E6C" w:rsidRPr="00521345" w:rsidRDefault="00610F8C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</w:t>
            </w:r>
            <w:r w:rsidR="00F60BD5">
              <w:t>-</w:t>
            </w:r>
            <w:r>
              <w:t>2019</w:t>
            </w:r>
          </w:p>
        </w:tc>
        <w:tc>
          <w:tcPr>
            <w:tcW w:w="1134" w:type="dxa"/>
            <w:shd w:val="clear" w:color="auto" w:fill="FFC000"/>
          </w:tcPr>
          <w:p w14:paraId="0F1B311C" w14:textId="1C2169EC" w:rsidR="003A3E6C" w:rsidRPr="00521345" w:rsidRDefault="00AF7D10" w:rsidP="003A3E6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FFC000"/>
              </w:rPr>
              <w:t>At risk</w:t>
            </w:r>
          </w:p>
        </w:tc>
      </w:tr>
      <w:tr w:rsidR="003A3E6C" w14:paraId="6B6B48BD" w14:textId="77777777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576AEA23" w14:textId="4B6D2E73" w:rsidR="003A3E6C" w:rsidRPr="00457E06" w:rsidRDefault="003A3E6C" w:rsidP="00457E06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>Develop waste audit guidelines for public hospitals and health services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3BA536CD" w14:textId="570A1FB4" w:rsidR="003A3E6C" w:rsidRPr="00521345" w:rsidRDefault="003A3E6C" w:rsidP="00427D7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Waste audit guidelines have been prepared and </w:t>
            </w:r>
            <w:r w:rsidR="00E11AA0">
              <w:t>are available</w:t>
            </w:r>
            <w:r>
              <w:t xml:space="preserve"> </w:t>
            </w:r>
            <w:r w:rsidR="00427D75">
              <w:t xml:space="preserve">from </w:t>
            </w:r>
            <w:hyperlink r:id="rId17" w:history="1">
              <w:r w:rsidR="00427D75" w:rsidRPr="00427D75">
                <w:rPr>
                  <w:rStyle w:val="Hyperlink"/>
                </w:rPr>
                <w:t>the de</w:t>
              </w:r>
              <w:r w:rsidR="00BF7D9E" w:rsidRPr="00427D75">
                <w:rPr>
                  <w:rStyle w:val="Hyperlink"/>
                </w:rPr>
                <w:t>p</w:t>
              </w:r>
              <w:r w:rsidR="00427D75" w:rsidRPr="00427D75">
                <w:rPr>
                  <w:rStyle w:val="Hyperlink"/>
                </w:rPr>
                <w:t>a</w:t>
              </w:r>
              <w:r w:rsidR="00BF7D9E" w:rsidRPr="00427D75">
                <w:rPr>
                  <w:rStyle w:val="Hyperlink"/>
                </w:rPr>
                <w:t>rtment’s website</w:t>
              </w:r>
            </w:hyperlink>
            <w:r w:rsidR="00BF7D9E">
              <w:t xml:space="preserve"> &lt;</w:t>
            </w:r>
            <w:r w:rsidR="00427D75" w:rsidRPr="00502981">
              <w:t>www.health.vic.gov.au/sustainability</w:t>
            </w:r>
            <w:r w:rsidR="00BF7D9E">
              <w:t>&gt;.</w:t>
            </w:r>
          </w:p>
        </w:tc>
        <w:tc>
          <w:tcPr>
            <w:tcW w:w="2125" w:type="dxa"/>
            <w:shd w:val="clear" w:color="auto" w:fill="F7A4BE"/>
          </w:tcPr>
          <w:p w14:paraId="146600FA" w14:textId="3A6F0F43" w:rsidR="003A3E6C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Risks: </w:t>
            </w:r>
            <w:r w:rsidR="00BF7D9E">
              <w:t>G</w:t>
            </w:r>
            <w:r>
              <w:t>uidelines not used</w:t>
            </w:r>
          </w:p>
          <w:p w14:paraId="4C343A80" w14:textId="51A95322" w:rsidR="003A3E6C" w:rsidRPr="00521345" w:rsidRDefault="003A3E6C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BF7D9E">
              <w:t>C</w:t>
            </w:r>
            <w:r>
              <w:t xml:space="preserve">ommunicate </w:t>
            </w:r>
            <w:r w:rsidR="00013301">
              <w:t xml:space="preserve">the </w:t>
            </w:r>
            <w:r w:rsidR="00BD5031">
              <w:t>benefit of waste audits</w:t>
            </w:r>
          </w:p>
        </w:tc>
        <w:tc>
          <w:tcPr>
            <w:tcW w:w="1418" w:type="dxa"/>
            <w:shd w:val="clear" w:color="auto" w:fill="F7A4BE"/>
          </w:tcPr>
          <w:p w14:paraId="0AB52D26" w14:textId="7157ACCF" w:rsidR="003A3E6C" w:rsidRPr="00521345" w:rsidRDefault="003A3E6C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2019</w:t>
            </w:r>
          </w:p>
        </w:tc>
        <w:tc>
          <w:tcPr>
            <w:tcW w:w="1134" w:type="dxa"/>
            <w:shd w:val="clear" w:color="auto" w:fill="92D050"/>
          </w:tcPr>
          <w:p w14:paraId="6391CCD1" w14:textId="71E9DE88" w:rsidR="003A3E6C" w:rsidRPr="00521345" w:rsidRDefault="00AF7D10" w:rsidP="003A3E6C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3A3E6C" w14:paraId="6F9D98BF" w14:textId="77777777" w:rsidTr="00F5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7A4BE"/>
          </w:tcPr>
          <w:p w14:paraId="5E37E598" w14:textId="4A8F66B7" w:rsidR="003A3E6C" w:rsidRPr="00457E06" w:rsidRDefault="003A3E6C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Work with the Environment Protection Authority to update the </w:t>
            </w:r>
            <w:r w:rsidRPr="00502981">
              <w:rPr>
                <w:b w:val="0"/>
                <w:i/>
                <w:color w:val="000000" w:themeColor="text1"/>
              </w:rPr>
              <w:t>Clinical and related waste operational guidance</w:t>
            </w:r>
            <w:r w:rsidRPr="00502981">
              <w:rPr>
                <w:i/>
                <w:color w:val="000000" w:themeColor="text1"/>
              </w:rPr>
              <w:t xml:space="preserve"> </w:t>
            </w:r>
            <w:r w:rsidRPr="00457E06">
              <w:rPr>
                <w:b w:val="0"/>
                <w:color w:val="auto"/>
              </w:rPr>
              <w:t>(EPA publication IWRG612.1)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7A644C39" w14:textId="28993857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Recommendations for changes have been submitted to </w:t>
            </w:r>
            <w:r w:rsidR="00013301">
              <w:t xml:space="preserve">the </w:t>
            </w:r>
            <w:r>
              <w:t>EPA for consideration. The EPA will assess these recommendations</w:t>
            </w:r>
            <w:r w:rsidR="00013301">
              <w:t>,</w:t>
            </w:r>
            <w:r>
              <w:t xml:space="preserve"> with an updated document expected to be available in late 2019.</w:t>
            </w:r>
          </w:p>
          <w:p w14:paraId="216FE2FE" w14:textId="279E9FE6" w:rsidR="003A3E6C" w:rsidRPr="00521345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supplementary booklet is being developed, providing step</w:t>
            </w:r>
            <w:r w:rsidR="00013301">
              <w:t>-</w:t>
            </w:r>
            <w:r>
              <w:t>by</w:t>
            </w:r>
            <w:r w:rsidR="00013301">
              <w:t>-</w:t>
            </w:r>
            <w:r>
              <w:t xml:space="preserve">step guidance </w:t>
            </w:r>
            <w:r w:rsidR="00E11AA0">
              <w:t>for</w:t>
            </w:r>
            <w:r>
              <w:t xml:space="preserve"> clinical staff </w:t>
            </w:r>
            <w:r w:rsidR="00E11AA0">
              <w:t>to</w:t>
            </w:r>
            <w:r>
              <w:t xml:space="preserve"> establish whether items </w:t>
            </w:r>
            <w:r w:rsidR="00E11AA0">
              <w:t>ar</w:t>
            </w:r>
            <w:r>
              <w:t xml:space="preserve">e clinical waste. </w:t>
            </w:r>
          </w:p>
        </w:tc>
        <w:tc>
          <w:tcPr>
            <w:tcW w:w="2125" w:type="dxa"/>
            <w:shd w:val="clear" w:color="auto" w:fill="F7A4BE"/>
          </w:tcPr>
          <w:p w14:paraId="7E549F36" w14:textId="65DD11FF" w:rsidR="003A3E6C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F60BD5">
              <w:t xml:space="preserve">The </w:t>
            </w:r>
            <w:r>
              <w:t>EPA does not support recommendations</w:t>
            </w:r>
          </w:p>
          <w:p w14:paraId="031008F2" w14:textId="14679C1F" w:rsidR="003A3E6C" w:rsidRPr="00521345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Continued engagement with </w:t>
            </w:r>
            <w:r w:rsidR="00F60BD5">
              <w:t xml:space="preserve">the </w:t>
            </w:r>
            <w:r>
              <w:t>EPA on need for changes</w:t>
            </w:r>
          </w:p>
        </w:tc>
        <w:tc>
          <w:tcPr>
            <w:tcW w:w="1418" w:type="dxa"/>
            <w:shd w:val="clear" w:color="auto" w:fill="F7A4BE"/>
          </w:tcPr>
          <w:p w14:paraId="1933DBB9" w14:textId="5E1EFB84" w:rsidR="003A3E6C" w:rsidRPr="00521345" w:rsidRDefault="003A3E6C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Late 2019</w:t>
            </w:r>
          </w:p>
        </w:tc>
        <w:tc>
          <w:tcPr>
            <w:tcW w:w="1134" w:type="dxa"/>
            <w:shd w:val="clear" w:color="auto" w:fill="92D050"/>
          </w:tcPr>
          <w:p w14:paraId="7580F756" w14:textId="340AE9CA" w:rsidR="003A3E6C" w:rsidRPr="00521345" w:rsidRDefault="00AF7D10" w:rsidP="003A3E6C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</w:tbl>
    <w:p w14:paraId="3969E368" w14:textId="77777777" w:rsidR="005E5C86" w:rsidRDefault="005E5C86">
      <w:pPr>
        <w:rPr>
          <w:rFonts w:ascii="Arial" w:eastAsia="Times" w:hAnsi="Arial"/>
        </w:rPr>
      </w:pPr>
      <w:r>
        <w:br w:type="page"/>
      </w:r>
    </w:p>
    <w:p w14:paraId="6ED6E68C" w14:textId="0B68F48D" w:rsidR="005E5C86" w:rsidRDefault="005E5C86" w:rsidP="005E5C86">
      <w:pPr>
        <w:pStyle w:val="Heading1"/>
      </w:pPr>
      <w:r>
        <w:lastRenderedPageBreak/>
        <w:t xml:space="preserve">Strategic direction 3: </w:t>
      </w:r>
      <w:r w:rsidR="00AE188D">
        <w:t>A</w:t>
      </w:r>
      <w:r>
        <w:t>dapt to a changing climate</w:t>
      </w:r>
    </w:p>
    <w:tbl>
      <w:tblPr>
        <w:tblStyle w:val="MediumGrid3-Accent4"/>
        <w:tblW w:w="14455" w:type="dxa"/>
        <w:tblLook w:val="04A0" w:firstRow="1" w:lastRow="0" w:firstColumn="1" w:lastColumn="0" w:noHBand="0" w:noVBand="1"/>
      </w:tblPr>
      <w:tblGrid>
        <w:gridCol w:w="4668"/>
        <w:gridCol w:w="5103"/>
        <w:gridCol w:w="2267"/>
        <w:gridCol w:w="1283"/>
        <w:gridCol w:w="1134"/>
      </w:tblGrid>
      <w:tr w:rsidR="00A00DD5" w14:paraId="36A37241" w14:textId="62A8AF03" w:rsidTr="00F51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bottom w:val="single" w:sz="12" w:space="0" w:color="FFFFFF" w:themeColor="background1"/>
            </w:tcBorders>
          </w:tcPr>
          <w:p w14:paraId="3E935EAA" w14:textId="547A8F53" w:rsidR="00A00DD5" w:rsidRPr="00B16D94" w:rsidRDefault="00A00DD5" w:rsidP="00502981">
            <w:pPr>
              <w:pStyle w:val="DHHStablecolhead"/>
            </w:pPr>
            <w:bookmarkStart w:id="2" w:name="_Hlk1467160"/>
            <w:r w:rsidRPr="00B16D94">
              <w:rPr>
                <w:b/>
              </w:rPr>
              <w:t>2018</w:t>
            </w:r>
            <w:r w:rsidR="00457E06" w:rsidRPr="00B16D94">
              <w:rPr>
                <w:b/>
              </w:rPr>
              <w:t>–</w:t>
            </w:r>
            <w:r w:rsidRPr="00B16D94">
              <w:rPr>
                <w:b/>
              </w:rPr>
              <w:t>19 action</w:t>
            </w:r>
          </w:p>
        </w:tc>
        <w:tc>
          <w:tcPr>
            <w:tcW w:w="5103" w:type="dxa"/>
            <w:tcBorders>
              <w:bottom w:val="single" w:sz="12" w:space="0" w:color="FFFFFF" w:themeColor="background1"/>
            </w:tcBorders>
          </w:tcPr>
          <w:p w14:paraId="429D001D" w14:textId="7332C068" w:rsidR="00A00DD5" w:rsidRPr="00B16D94" w:rsidRDefault="00A00DD5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 xml:space="preserve">Progress as of </w:t>
            </w:r>
            <w:r w:rsidR="001C3C88" w:rsidRPr="00B16D94">
              <w:rPr>
                <w:b/>
              </w:rPr>
              <w:t>28</w:t>
            </w:r>
            <w:r w:rsidRPr="00B16D94">
              <w:rPr>
                <w:b/>
              </w:rPr>
              <w:t xml:space="preserve"> </w:t>
            </w:r>
            <w:r w:rsidR="001C3C88" w:rsidRPr="00B16D94">
              <w:rPr>
                <w:b/>
              </w:rPr>
              <w:t>Febr</w:t>
            </w:r>
            <w:r w:rsidRPr="00B16D94">
              <w:rPr>
                <w:b/>
              </w:rPr>
              <w:t>uary 2019</w:t>
            </w:r>
          </w:p>
        </w:tc>
        <w:tc>
          <w:tcPr>
            <w:tcW w:w="2267" w:type="dxa"/>
            <w:tcBorders>
              <w:bottom w:val="single" w:sz="12" w:space="0" w:color="FFFFFF" w:themeColor="background1"/>
            </w:tcBorders>
          </w:tcPr>
          <w:p w14:paraId="6603F81D" w14:textId="462078DC" w:rsidR="00A00DD5" w:rsidRPr="00B16D94" w:rsidRDefault="00A00DD5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Risk</w:t>
            </w:r>
          </w:p>
        </w:tc>
        <w:tc>
          <w:tcPr>
            <w:tcW w:w="1283" w:type="dxa"/>
            <w:tcBorders>
              <w:bottom w:val="single" w:sz="12" w:space="0" w:color="FFFFFF" w:themeColor="background1"/>
            </w:tcBorders>
          </w:tcPr>
          <w:p w14:paraId="0CB47221" w14:textId="2179F567" w:rsidR="00A00DD5" w:rsidRPr="00B16D94" w:rsidRDefault="00A00DD5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Target completion</w:t>
            </w:r>
          </w:p>
        </w:tc>
        <w:tc>
          <w:tcPr>
            <w:tcW w:w="1134" w:type="dxa"/>
            <w:tcBorders>
              <w:bottom w:val="single" w:sz="12" w:space="0" w:color="FFFFFF" w:themeColor="background1"/>
            </w:tcBorders>
          </w:tcPr>
          <w:p w14:paraId="7C4EE279" w14:textId="42DBFE38" w:rsidR="00A00DD5" w:rsidRPr="00B16D94" w:rsidRDefault="00A00DD5" w:rsidP="00B16D94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6D94">
              <w:rPr>
                <w:b/>
              </w:rPr>
              <w:t>Status</w:t>
            </w:r>
          </w:p>
        </w:tc>
      </w:tr>
      <w:tr w:rsidR="00A00DD5" w:rsidRPr="00521345" w14:paraId="6C2771B7" w14:textId="79533ABC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A4BE"/>
          </w:tcPr>
          <w:p w14:paraId="376300EE" w14:textId="38B76366" w:rsidR="00A00DD5" w:rsidRPr="00457E06" w:rsidRDefault="00A00DD5" w:rsidP="006F2E6F">
            <w:pPr>
              <w:pStyle w:val="DHHStabletext"/>
              <w:rPr>
                <w:b w:val="0"/>
                <w:bCs w:val="0"/>
                <w:color w:val="auto"/>
              </w:rPr>
            </w:pPr>
            <w:r w:rsidRPr="00457E06">
              <w:rPr>
                <w:b w:val="0"/>
                <w:color w:val="auto"/>
              </w:rPr>
              <w:t xml:space="preserve">Contribute to the Department of Health and Human Services </w:t>
            </w:r>
            <w:r w:rsidRPr="00457E06">
              <w:rPr>
                <w:b w:val="0"/>
                <w:i/>
                <w:color w:val="auto"/>
              </w:rPr>
              <w:t xml:space="preserve">Climate </w:t>
            </w:r>
            <w:r w:rsidR="00AE188D">
              <w:rPr>
                <w:b w:val="0"/>
                <w:i/>
                <w:color w:val="auto"/>
              </w:rPr>
              <w:t>c</w:t>
            </w:r>
            <w:r w:rsidRPr="00457E06">
              <w:rPr>
                <w:b w:val="0"/>
                <w:i/>
                <w:color w:val="auto"/>
              </w:rPr>
              <w:t xml:space="preserve">hange </w:t>
            </w:r>
            <w:r w:rsidR="00AE188D">
              <w:rPr>
                <w:b w:val="0"/>
                <w:i/>
                <w:color w:val="auto"/>
              </w:rPr>
              <w:t>s</w:t>
            </w:r>
            <w:r w:rsidRPr="00457E06">
              <w:rPr>
                <w:b w:val="0"/>
                <w:i/>
                <w:color w:val="auto"/>
              </w:rPr>
              <w:t>trategy</w:t>
            </w:r>
          </w:p>
        </w:tc>
        <w:tc>
          <w:tcPr>
            <w:tcW w:w="510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7A4BE"/>
          </w:tcPr>
          <w:p w14:paraId="7E867741" w14:textId="0766FB05" w:rsidR="00F51CB7" w:rsidRDefault="00A67780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department is considering a</w:t>
            </w:r>
            <w:r w:rsidR="00F51CB7">
              <w:t xml:space="preserve"> draft </w:t>
            </w:r>
            <w:r w:rsidR="00F51CB7">
              <w:rPr>
                <w:i/>
              </w:rPr>
              <w:t xml:space="preserve">Adaptation </w:t>
            </w:r>
            <w:r w:rsidR="00AE188D">
              <w:rPr>
                <w:i/>
              </w:rPr>
              <w:t>a</w:t>
            </w:r>
            <w:r w:rsidR="00F51CB7">
              <w:rPr>
                <w:i/>
              </w:rPr>
              <w:t xml:space="preserve">ction </w:t>
            </w:r>
            <w:r w:rsidR="00AE188D">
              <w:rPr>
                <w:i/>
              </w:rPr>
              <w:t>p</w:t>
            </w:r>
            <w:r w:rsidR="00F51CB7">
              <w:rPr>
                <w:i/>
              </w:rPr>
              <w:t>lan</w:t>
            </w:r>
            <w:r w:rsidR="00F51CB7">
              <w:t xml:space="preserve"> </w:t>
            </w:r>
            <w:r>
              <w:t xml:space="preserve">before </w:t>
            </w:r>
            <w:r w:rsidR="00F51CB7">
              <w:t xml:space="preserve">publication. </w:t>
            </w:r>
          </w:p>
          <w:p w14:paraId="35DFF71B" w14:textId="6B6E51BC" w:rsidR="00A00DD5" w:rsidRPr="00F51CB7" w:rsidRDefault="00F51CB7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draft </w:t>
            </w:r>
            <w:r>
              <w:rPr>
                <w:i/>
              </w:rPr>
              <w:t xml:space="preserve">Emissions </w:t>
            </w:r>
            <w:r w:rsidR="00AE188D">
              <w:rPr>
                <w:i/>
              </w:rPr>
              <w:t>r</w:t>
            </w:r>
            <w:r>
              <w:rPr>
                <w:i/>
              </w:rPr>
              <w:t xml:space="preserve">eduction </w:t>
            </w:r>
            <w:r w:rsidR="00AE188D">
              <w:rPr>
                <w:i/>
              </w:rPr>
              <w:t>p</w:t>
            </w:r>
            <w:r>
              <w:rPr>
                <w:i/>
              </w:rPr>
              <w:t>lan</w:t>
            </w:r>
            <w:r>
              <w:t xml:space="preserve"> </w:t>
            </w:r>
            <w:r w:rsidR="00244903">
              <w:t>is in development</w:t>
            </w:r>
            <w:r>
              <w:t xml:space="preserve"> and will be </w:t>
            </w:r>
            <w:r w:rsidR="00244903">
              <w:t>finalised</w:t>
            </w:r>
            <w:r>
              <w:t xml:space="preserve"> following release of the </w:t>
            </w:r>
            <w:r w:rsidR="00A67780">
              <w:t>s</w:t>
            </w:r>
            <w:r>
              <w:t>tate interim targets.</w:t>
            </w:r>
          </w:p>
        </w:tc>
        <w:tc>
          <w:tcPr>
            <w:tcW w:w="2267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1A60E39E" w14:textId="0242825A" w:rsidR="00F51CB7" w:rsidRDefault="00F51CB7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AE188D">
              <w:t>D</w:t>
            </w:r>
            <w:r>
              <w:t>elays in finalising the strategy given</w:t>
            </w:r>
            <w:r w:rsidR="00A67780">
              <w:t xml:space="preserve"> the</w:t>
            </w:r>
            <w:r>
              <w:t xml:space="preserve"> scope and extent of stakeholders</w:t>
            </w:r>
          </w:p>
          <w:p w14:paraId="0F82D974" w14:textId="4C8F5D48" w:rsidR="00A00DD5" w:rsidRPr="00A268F3" w:rsidRDefault="00F51CB7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Mitigation: </w:t>
            </w:r>
            <w:r w:rsidR="00AE188D">
              <w:t>G</w:t>
            </w:r>
            <w:r>
              <w:t>overnance through the Climate Change Reference Group</w:t>
            </w:r>
          </w:p>
        </w:tc>
        <w:tc>
          <w:tcPr>
            <w:tcW w:w="1283" w:type="dxa"/>
            <w:tcBorders>
              <w:top w:val="single" w:sz="12" w:space="0" w:color="FFFFFF" w:themeColor="background1"/>
            </w:tcBorders>
            <w:shd w:val="clear" w:color="auto" w:fill="F7A4BE"/>
          </w:tcPr>
          <w:p w14:paraId="4EEE5920" w14:textId="78AADDC1" w:rsidR="00A00DD5" w:rsidRPr="001C48B4" w:rsidRDefault="00F51CB7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 2019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</w:tcBorders>
            <w:shd w:val="clear" w:color="auto" w:fill="92D050"/>
          </w:tcPr>
          <w:p w14:paraId="09012507" w14:textId="21B7B0E4" w:rsidR="00A00DD5" w:rsidRPr="005E5C86" w:rsidRDefault="00AF7D10" w:rsidP="00573EC9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bookmarkEnd w:id="2"/>
      <w:tr w:rsidR="00A00DD5" w:rsidRPr="00521345" w14:paraId="4FC4B198" w14:textId="0BF63239" w:rsidTr="00F5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A4BE"/>
          </w:tcPr>
          <w:p w14:paraId="40426FB8" w14:textId="32FA81E7" w:rsidR="00A00DD5" w:rsidRPr="00457E06" w:rsidRDefault="00A00DD5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Map the climate risk to health infrastructure including health services, ambulance stations and public hospital helipads</w:t>
            </w:r>
          </w:p>
        </w:tc>
        <w:tc>
          <w:tcPr>
            <w:tcW w:w="5103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542178B8" w14:textId="4F56573B" w:rsidR="00A00DD5" w:rsidRDefault="00553AED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VHHSBA</w:t>
            </w:r>
            <w:r w:rsidR="00A00DD5">
              <w:t xml:space="preserve"> has engaged a consultant to map</w:t>
            </w:r>
            <w:r w:rsidR="00A67780">
              <w:t xml:space="preserve"> the</w:t>
            </w:r>
            <w:r w:rsidR="00A00DD5">
              <w:t xml:space="preserve"> climate risk of public health facilities across the </w:t>
            </w:r>
            <w:r w:rsidR="00A67780">
              <w:t>s</w:t>
            </w:r>
            <w:r w:rsidR="00A00DD5">
              <w:t xml:space="preserve">tate. The study found that heat risk was a factor at all sites, bushfire, flooding and inundation (sea level rise) posed a future risk at some sites, while wind and soil contraction posed </w:t>
            </w:r>
            <w:r w:rsidR="00573EC9">
              <w:t xml:space="preserve">a </w:t>
            </w:r>
            <w:r w:rsidR="00A00DD5">
              <w:t>marginal risk across the portfolio.</w:t>
            </w:r>
          </w:p>
          <w:p w14:paraId="5ED190A0" w14:textId="5C568599" w:rsidR="00A00DD5" w:rsidRPr="001C166F" w:rsidRDefault="00553AED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VHHSBA</w:t>
            </w:r>
            <w:r w:rsidR="00A00DD5">
              <w:t xml:space="preserve"> is </w:t>
            </w:r>
            <w:r w:rsidR="00E11AA0">
              <w:t>assessing how best</w:t>
            </w:r>
            <w:r w:rsidR="00A00DD5">
              <w:t xml:space="preserve"> to integrate future climate risks into its planning and capital delivery program.</w:t>
            </w:r>
          </w:p>
        </w:tc>
        <w:tc>
          <w:tcPr>
            <w:tcW w:w="2267" w:type="dxa"/>
            <w:shd w:val="clear" w:color="auto" w:fill="F7A4BE"/>
          </w:tcPr>
          <w:p w14:paraId="7A1A4D1F" w14:textId="3E5D43E2" w:rsidR="00A00DD5" w:rsidRDefault="00A00DD5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8F3">
              <w:t>Risk:</w:t>
            </w:r>
            <w:r>
              <w:t xml:space="preserve"> </w:t>
            </w:r>
            <w:r w:rsidR="00AE188D">
              <w:t>C</w:t>
            </w:r>
            <w:r>
              <w:t>limate risks not considered in infrastructure program</w:t>
            </w:r>
          </w:p>
          <w:p w14:paraId="1A162D1A" w14:textId="1B01F997" w:rsidR="00A00DD5" w:rsidRPr="00A268F3" w:rsidRDefault="00A00DD5" w:rsidP="006F2E6F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Mitigation: </w:t>
            </w:r>
            <w:r w:rsidR="00AE188D">
              <w:t>I</w:t>
            </w:r>
            <w:r>
              <w:t xml:space="preserve">ntegrate into Asset Management Establishment project and sustainability and engineering guidelines </w:t>
            </w:r>
          </w:p>
        </w:tc>
        <w:tc>
          <w:tcPr>
            <w:tcW w:w="1283" w:type="dxa"/>
            <w:shd w:val="clear" w:color="auto" w:fill="F7A4BE"/>
          </w:tcPr>
          <w:p w14:paraId="68D86D9A" w14:textId="6E6F4E49" w:rsidR="00A00DD5" w:rsidRPr="001C48B4" w:rsidRDefault="001C48B4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8B4">
              <w:t>June 2019</w:t>
            </w:r>
          </w:p>
        </w:tc>
        <w:tc>
          <w:tcPr>
            <w:tcW w:w="1134" w:type="dxa"/>
            <w:shd w:val="clear" w:color="auto" w:fill="92D050"/>
          </w:tcPr>
          <w:p w14:paraId="7EF15C6A" w14:textId="1F09F1BF" w:rsidR="00A00DD5" w:rsidRPr="005E5C86" w:rsidRDefault="00AF7D10" w:rsidP="00573EC9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A00DD5" w:rsidRPr="00521345" w14:paraId="2BAE7CD5" w14:textId="0C73590E" w:rsidTr="00F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A4BE"/>
          </w:tcPr>
          <w:p w14:paraId="47DE068F" w14:textId="77777777" w:rsidR="00A00DD5" w:rsidRPr="00457E06" w:rsidRDefault="00A00DD5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Collect and analyse data on the energy security of public health facilities</w:t>
            </w:r>
          </w:p>
        </w:tc>
        <w:tc>
          <w:tcPr>
            <w:tcW w:w="5103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0B53AEA9" w14:textId="0E95B44B" w:rsidR="00A00DD5" w:rsidRPr="001C166F" w:rsidRDefault="00573EC9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VHHSBA is c</w:t>
            </w:r>
            <w:r w:rsidR="00F51CB7">
              <w:t xml:space="preserve">ommissioning an independent emergency generator assessment </w:t>
            </w:r>
            <w:r>
              <w:t xml:space="preserve">of </w:t>
            </w:r>
            <w:r w:rsidR="00F51CB7">
              <w:t>the public healthcare system</w:t>
            </w:r>
            <w:r>
              <w:t>,</w:t>
            </w:r>
            <w:r w:rsidR="00F51CB7">
              <w:t xml:space="preserve"> building on data collected for the 2018 and 2019 summers.</w:t>
            </w:r>
          </w:p>
        </w:tc>
        <w:tc>
          <w:tcPr>
            <w:tcW w:w="2267" w:type="dxa"/>
            <w:shd w:val="clear" w:color="auto" w:fill="F7A4BE"/>
          </w:tcPr>
          <w:p w14:paraId="544A1DD4" w14:textId="203249C9" w:rsidR="00A00DD5" w:rsidRPr="00A268F3" w:rsidRDefault="00F51CB7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Risk:</w:t>
            </w:r>
            <w:r w:rsidR="00FA7069">
              <w:t xml:space="preserve"> </w:t>
            </w:r>
            <w:r w:rsidR="00AE188D">
              <w:t>N</w:t>
            </w:r>
            <w:r w:rsidR="00FA7069">
              <w:t>one identified to date</w:t>
            </w:r>
          </w:p>
        </w:tc>
        <w:tc>
          <w:tcPr>
            <w:tcW w:w="1283" w:type="dxa"/>
            <w:shd w:val="clear" w:color="auto" w:fill="F7A4BE"/>
          </w:tcPr>
          <w:p w14:paraId="3ED184E2" w14:textId="2457743D" w:rsidR="00A00DD5" w:rsidRPr="001C48B4" w:rsidRDefault="00F51CB7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2019</w:t>
            </w:r>
          </w:p>
        </w:tc>
        <w:tc>
          <w:tcPr>
            <w:tcW w:w="1134" w:type="dxa"/>
            <w:shd w:val="clear" w:color="auto" w:fill="92D050"/>
          </w:tcPr>
          <w:p w14:paraId="402C1C04" w14:textId="5B8BFAD6" w:rsidR="00A00DD5" w:rsidRPr="005E5C86" w:rsidRDefault="00AF7D10" w:rsidP="00573EC9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A00DD5" w:rsidRPr="00521345" w14:paraId="40560C33" w14:textId="773BAC8D" w:rsidTr="003E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A4BE"/>
          </w:tcPr>
          <w:p w14:paraId="5FF7CBE5" w14:textId="77777777" w:rsidR="00A00DD5" w:rsidRPr="00457E06" w:rsidRDefault="00A00DD5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Integrate climate resilience into guidelines on essential engineering services and sustainability in capital works</w:t>
            </w:r>
          </w:p>
        </w:tc>
        <w:tc>
          <w:tcPr>
            <w:tcW w:w="5103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1CA9F610" w14:textId="6C676B2C" w:rsidR="00A00DD5" w:rsidRPr="001C166F" w:rsidRDefault="001C48B4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Climate resilience was integrated into the request for tenders to update </w:t>
            </w:r>
            <w:r w:rsidR="00683E01">
              <w:t>VHHSBA</w:t>
            </w:r>
            <w:r>
              <w:t>’s sustainability guidelines for capital works and the hospital engineering design guidelines.</w:t>
            </w:r>
          </w:p>
        </w:tc>
        <w:tc>
          <w:tcPr>
            <w:tcW w:w="2267" w:type="dxa"/>
            <w:shd w:val="clear" w:color="auto" w:fill="F7A4BE"/>
          </w:tcPr>
          <w:p w14:paraId="1BB5072E" w14:textId="34C44318" w:rsidR="00A00DD5" w:rsidRDefault="001C48B4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Risk: </w:t>
            </w:r>
            <w:r w:rsidR="00AE188D">
              <w:t>C</w:t>
            </w:r>
            <w:r>
              <w:t xml:space="preserve">onsultants do not have </w:t>
            </w:r>
            <w:r w:rsidR="00573EC9">
              <w:t xml:space="preserve">the </w:t>
            </w:r>
            <w:r>
              <w:t>requisite expertise to integrate climate resilience into guidelines</w:t>
            </w:r>
          </w:p>
          <w:p w14:paraId="236AE2FB" w14:textId="684EAD9B" w:rsidR="001C48B4" w:rsidRPr="00A268F3" w:rsidRDefault="001C48B4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Mitigation: </w:t>
            </w:r>
            <w:r w:rsidR="00AE188D">
              <w:t>A</w:t>
            </w:r>
            <w:r>
              <w:t>ctively consider in tender evaluation</w:t>
            </w:r>
          </w:p>
        </w:tc>
        <w:tc>
          <w:tcPr>
            <w:tcW w:w="1283" w:type="dxa"/>
            <w:shd w:val="clear" w:color="auto" w:fill="F7A4BE"/>
          </w:tcPr>
          <w:p w14:paraId="671CF029" w14:textId="52ACF055" w:rsidR="00A00DD5" w:rsidRPr="001C48B4" w:rsidRDefault="001C48B4" w:rsidP="00457E06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Late 2019</w:t>
            </w:r>
          </w:p>
        </w:tc>
        <w:tc>
          <w:tcPr>
            <w:tcW w:w="1134" w:type="dxa"/>
            <w:shd w:val="clear" w:color="auto" w:fill="92D050"/>
          </w:tcPr>
          <w:p w14:paraId="47579B07" w14:textId="2422C467" w:rsidR="00A00DD5" w:rsidRPr="005E5C86" w:rsidRDefault="00AF7D10" w:rsidP="00573EC9">
            <w:pPr>
              <w:pStyle w:val="D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  <w:tr w:rsidR="00A00DD5" w:rsidRPr="00521345" w14:paraId="7875D34B" w14:textId="06E3347D" w:rsidTr="00FA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7A4BE"/>
          </w:tcPr>
          <w:p w14:paraId="401ECB9B" w14:textId="795CCA1B" w:rsidR="00A00DD5" w:rsidRPr="00457E06" w:rsidRDefault="00A00DD5" w:rsidP="00457E06">
            <w:pPr>
              <w:pStyle w:val="DHHStabletext"/>
              <w:rPr>
                <w:b w:val="0"/>
                <w:color w:val="auto"/>
              </w:rPr>
            </w:pPr>
            <w:r w:rsidRPr="00457E06">
              <w:rPr>
                <w:b w:val="0"/>
                <w:color w:val="auto"/>
              </w:rPr>
              <w:t>Prepare guidance on</w:t>
            </w:r>
            <w:r w:rsidR="00573EC9">
              <w:rPr>
                <w:b w:val="0"/>
                <w:color w:val="auto"/>
              </w:rPr>
              <w:t xml:space="preserve"> the</w:t>
            </w:r>
            <w:r w:rsidRPr="00457E06">
              <w:rPr>
                <w:b w:val="0"/>
                <w:color w:val="auto"/>
              </w:rPr>
              <w:t xml:space="preserve"> design and operation of </w:t>
            </w:r>
            <w:r w:rsidR="00FA7069" w:rsidRPr="00457E06">
              <w:rPr>
                <w:b w:val="0"/>
                <w:color w:val="auto"/>
              </w:rPr>
              <w:t>emergency</w:t>
            </w:r>
            <w:r w:rsidRPr="00457E06">
              <w:rPr>
                <w:b w:val="0"/>
                <w:color w:val="auto"/>
              </w:rPr>
              <w:t xml:space="preserve"> generators in a wider range of climate conditions</w:t>
            </w:r>
          </w:p>
        </w:tc>
        <w:tc>
          <w:tcPr>
            <w:tcW w:w="5103" w:type="dxa"/>
            <w:tcBorders>
              <w:left w:val="single" w:sz="12" w:space="0" w:color="FFFFFF" w:themeColor="background1"/>
            </w:tcBorders>
            <w:shd w:val="clear" w:color="auto" w:fill="F7A4BE"/>
          </w:tcPr>
          <w:p w14:paraId="578DC273" w14:textId="103F477A" w:rsidR="00FA7069" w:rsidRDefault="00FA7069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need for a</w:t>
            </w:r>
            <w:r w:rsidRPr="00FA7069">
              <w:t xml:space="preserve"> Technical Practice Note </w:t>
            </w:r>
            <w:r>
              <w:t>on the</w:t>
            </w:r>
            <w:r w:rsidRPr="00FA7069">
              <w:t xml:space="preserve"> design and installation of emergency generators</w:t>
            </w:r>
            <w:r>
              <w:t xml:space="preserve"> will be considered as part of the independent </w:t>
            </w:r>
            <w:r w:rsidRPr="00FA7069">
              <w:t xml:space="preserve">emergency generator assessment. </w:t>
            </w:r>
          </w:p>
          <w:p w14:paraId="3656C128" w14:textId="03EBAE32" w:rsidR="00A00DD5" w:rsidRPr="001C166F" w:rsidRDefault="00FA7069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FA7069">
              <w:t xml:space="preserve">ngineering design guidelines will incorporate fundamental design principles </w:t>
            </w:r>
            <w:r>
              <w:t xml:space="preserve">on the </w:t>
            </w:r>
            <w:r w:rsidRPr="005E5C86">
              <w:t xml:space="preserve">design and operation of </w:t>
            </w:r>
            <w:r>
              <w:t>emergency</w:t>
            </w:r>
            <w:r w:rsidRPr="005E5C86">
              <w:t xml:space="preserve"> generators in a wider range of climate conditions</w:t>
            </w:r>
            <w:r w:rsidRPr="00FA7069">
              <w:t>.</w:t>
            </w:r>
          </w:p>
        </w:tc>
        <w:tc>
          <w:tcPr>
            <w:tcW w:w="2267" w:type="dxa"/>
            <w:shd w:val="clear" w:color="auto" w:fill="F7A4BE"/>
          </w:tcPr>
          <w:p w14:paraId="4DC45C85" w14:textId="2D6714DC" w:rsidR="00A00DD5" w:rsidRPr="00A268F3" w:rsidRDefault="00FA7069" w:rsidP="006F2E6F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Risk: </w:t>
            </w:r>
            <w:r w:rsidR="00AE188D">
              <w:t>N</w:t>
            </w:r>
            <w:r>
              <w:t>one identified to date</w:t>
            </w:r>
          </w:p>
        </w:tc>
        <w:tc>
          <w:tcPr>
            <w:tcW w:w="1283" w:type="dxa"/>
            <w:shd w:val="clear" w:color="auto" w:fill="F7A4BE"/>
          </w:tcPr>
          <w:p w14:paraId="291E2C44" w14:textId="6FE99209" w:rsidR="00A00DD5" w:rsidRPr="001C48B4" w:rsidRDefault="00FA7069" w:rsidP="00457E06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 2019</w:t>
            </w:r>
          </w:p>
        </w:tc>
        <w:tc>
          <w:tcPr>
            <w:tcW w:w="1134" w:type="dxa"/>
            <w:shd w:val="clear" w:color="auto" w:fill="92D050"/>
          </w:tcPr>
          <w:p w14:paraId="556143D3" w14:textId="64D56308" w:rsidR="00A00DD5" w:rsidRPr="005E5C86" w:rsidRDefault="00AF7D10" w:rsidP="00573EC9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F7D10">
              <w:rPr>
                <w:color w:val="92D050"/>
              </w:rPr>
              <w:t>Expected</w:t>
            </w:r>
          </w:p>
        </w:tc>
      </w:tr>
    </w:tbl>
    <w:p w14:paraId="49A79F34" w14:textId="77777777" w:rsidR="005E5C86" w:rsidRDefault="005E5C86" w:rsidP="005F0C2A">
      <w:pPr>
        <w:pStyle w:val="DHHSbody"/>
      </w:pPr>
    </w:p>
    <w:sectPr w:rsidR="005E5C86" w:rsidSect="00B4746A">
      <w:footerReference w:type="default" r:id="rId18"/>
      <w:pgSz w:w="16838" w:h="11906" w:orient="landscape"/>
      <w:pgMar w:top="1304" w:right="1701" w:bottom="1701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2ABE" w14:textId="77777777" w:rsidR="00624CD8" w:rsidRDefault="00624CD8">
      <w:r>
        <w:separator/>
      </w:r>
    </w:p>
  </w:endnote>
  <w:endnote w:type="continuationSeparator" w:id="0">
    <w:p w14:paraId="35A35DDC" w14:textId="77777777" w:rsidR="00624CD8" w:rsidRDefault="0062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C176" w14:textId="1AF37B91" w:rsidR="00573EC9" w:rsidRPr="008114D1" w:rsidRDefault="00573EC9" w:rsidP="00307B67">
    <w:pPr>
      <w:pStyle w:val="DHHSfooter"/>
      <w:tabs>
        <w:tab w:val="clear" w:pos="9299"/>
        <w:tab w:val="right" w:pos="14034"/>
      </w:tabs>
      <w:ind w:right="-31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 w:rsidR="00307B67">
      <w:rPr>
        <w:noProof/>
      </w:rPr>
      <w:t>8</w:t>
    </w:r>
    <w:r w:rsidRPr="005A39EC">
      <w:fldChar w:fldCharType="end"/>
    </w:r>
    <w:r>
      <w:tab/>
      <w:t>Environmental sustainability strategy: progress report, 28 February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917F" w14:textId="4261D8A9" w:rsidR="00573EC9" w:rsidRPr="0031753A" w:rsidRDefault="00573EC9" w:rsidP="00307B67">
    <w:pPr>
      <w:pStyle w:val="DHHSfooter"/>
      <w:tabs>
        <w:tab w:val="clear" w:pos="9299"/>
      </w:tabs>
    </w:pPr>
    <w:r>
      <w:t>Environmental sustainability strategy: progress report, 28 February 2019</w:t>
    </w:r>
    <w:r w:rsidR="00307B67">
      <w:tab/>
    </w:r>
    <w:r w:rsidR="00307B67">
      <w:tab/>
    </w:r>
    <w:r w:rsidR="00307B67">
      <w:tab/>
    </w:r>
    <w:r w:rsidR="00307B67">
      <w:tab/>
    </w:r>
    <w:r w:rsidRPr="0031753A">
      <w:t xml:space="preserve">Page </w:t>
    </w:r>
    <w:r w:rsidRPr="0031753A">
      <w:fldChar w:fldCharType="begin"/>
    </w:r>
    <w:r w:rsidRPr="0031753A">
      <w:instrText xml:space="preserve"> PAGE </w:instrText>
    </w:r>
    <w:r w:rsidRPr="0031753A">
      <w:fldChar w:fldCharType="separate"/>
    </w:r>
    <w:r w:rsidR="00307B67">
      <w:rPr>
        <w:noProof/>
      </w:rPr>
      <w:t>1</w:t>
    </w:r>
    <w:r w:rsidRPr="003175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9185" w14:textId="77777777" w:rsidR="00573EC9" w:rsidRPr="001A7E04" w:rsidRDefault="00573EC9" w:rsidP="00AC0C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D9EA" w14:textId="24E72C3D" w:rsidR="00307B67" w:rsidRPr="0031753A" w:rsidRDefault="00307B67" w:rsidP="00307B67">
    <w:pPr>
      <w:pStyle w:val="DHHSfooter"/>
      <w:tabs>
        <w:tab w:val="clear" w:pos="9299"/>
      </w:tabs>
    </w:pPr>
    <w:r>
      <w:t>Environmental sustainability strategy: progress report, 28 February 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1753A">
      <w:t xml:space="preserve">Page </w:t>
    </w:r>
    <w:r w:rsidRPr="0031753A">
      <w:fldChar w:fldCharType="begin"/>
    </w:r>
    <w:r w:rsidRPr="0031753A">
      <w:instrText xml:space="preserve"> PAGE </w:instrText>
    </w:r>
    <w:r w:rsidRPr="0031753A">
      <w:fldChar w:fldCharType="separate"/>
    </w:r>
    <w:r>
      <w:rPr>
        <w:noProof/>
      </w:rPr>
      <w:t>7</w:t>
    </w:r>
    <w:r w:rsidRPr="003175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7D7F" w14:textId="77777777" w:rsidR="00624CD8" w:rsidRDefault="00624CD8">
      <w:r>
        <w:separator/>
      </w:r>
    </w:p>
  </w:footnote>
  <w:footnote w:type="continuationSeparator" w:id="0">
    <w:p w14:paraId="0826C2CF" w14:textId="77777777" w:rsidR="00624CD8" w:rsidRDefault="0062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7FC8" w14:textId="77777777" w:rsidR="00573EC9" w:rsidRPr="0069374A" w:rsidRDefault="00573EC9" w:rsidP="00E969B1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17E8" w14:textId="77777777" w:rsidR="00573EC9" w:rsidRDefault="00573EC9" w:rsidP="00E969B1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D667" w14:textId="77777777" w:rsidR="00573EC9" w:rsidRDefault="00573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9A702356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03197"/>
    <w:multiLevelType w:val="hybridMultilevel"/>
    <w:tmpl w:val="71B249E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F21E86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B7D0561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6"/>
  </w:num>
  <w:num w:numId="18">
    <w:abstractNumId w:val="6"/>
  </w:num>
  <w:num w:numId="19">
    <w:abstractNumId w:val="5"/>
  </w:num>
  <w:num w:numId="20">
    <w:abstractNumId w:val="2"/>
  </w:num>
  <w:num w:numId="21">
    <w:abstractNumId w:val="6"/>
  </w:num>
  <w:num w:numId="22">
    <w:abstractNumId w:val="2"/>
  </w:num>
  <w:num w:numId="23">
    <w:abstractNumId w:val="7"/>
  </w:num>
  <w:num w:numId="24">
    <w:abstractNumId w:val="7"/>
  </w:num>
  <w:num w:numId="25">
    <w:abstractNumId w:val="10"/>
  </w:num>
  <w:num w:numId="26">
    <w:abstractNumId w:val="10"/>
  </w:num>
  <w:num w:numId="27">
    <w:abstractNumId w:val="8"/>
  </w:num>
  <w:num w:numId="28">
    <w:abstractNumId w:val="8"/>
  </w:num>
  <w:num w:numId="29">
    <w:abstractNumId w:val="9"/>
  </w:num>
  <w:num w:numId="30">
    <w:abstractNumId w:val="6"/>
  </w:num>
  <w:num w:numId="31">
    <w:abstractNumId w:val="2"/>
  </w:num>
  <w:num w:numId="32">
    <w:abstractNumId w:val="10"/>
  </w:num>
  <w:num w:numId="33">
    <w:abstractNumId w:val="7"/>
  </w:num>
  <w:num w:numId="34">
    <w:abstractNumId w:va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yNTC1MDc1MTU2NTZT0lEKTi0uzszPAykwrgUAdOWHqSwAAAA="/>
  </w:docVars>
  <w:rsids>
    <w:rsidRoot w:val="00060C7A"/>
    <w:rsid w:val="0000285C"/>
    <w:rsid w:val="00002990"/>
    <w:rsid w:val="000048AC"/>
    <w:rsid w:val="0001077C"/>
    <w:rsid w:val="00013301"/>
    <w:rsid w:val="00014FC4"/>
    <w:rsid w:val="00020AAB"/>
    <w:rsid w:val="000223A4"/>
    <w:rsid w:val="00022E60"/>
    <w:rsid w:val="00026C19"/>
    <w:rsid w:val="00030E52"/>
    <w:rsid w:val="00030EFF"/>
    <w:rsid w:val="00031263"/>
    <w:rsid w:val="00042C5B"/>
    <w:rsid w:val="00047330"/>
    <w:rsid w:val="000476D1"/>
    <w:rsid w:val="00050C2F"/>
    <w:rsid w:val="0005587D"/>
    <w:rsid w:val="0005633B"/>
    <w:rsid w:val="00060C7A"/>
    <w:rsid w:val="00060E93"/>
    <w:rsid w:val="00064936"/>
    <w:rsid w:val="00071105"/>
    <w:rsid w:val="000718B1"/>
    <w:rsid w:val="000734F8"/>
    <w:rsid w:val="000736B8"/>
    <w:rsid w:val="000817CB"/>
    <w:rsid w:val="00081B63"/>
    <w:rsid w:val="000873EF"/>
    <w:rsid w:val="0009632C"/>
    <w:rsid w:val="000A2351"/>
    <w:rsid w:val="000B15CC"/>
    <w:rsid w:val="000B23E7"/>
    <w:rsid w:val="000B3792"/>
    <w:rsid w:val="000B74C2"/>
    <w:rsid w:val="000C6242"/>
    <w:rsid w:val="000C68DB"/>
    <w:rsid w:val="000D2C32"/>
    <w:rsid w:val="000D7991"/>
    <w:rsid w:val="000E6F72"/>
    <w:rsid w:val="000F0478"/>
    <w:rsid w:val="000F0A50"/>
    <w:rsid w:val="000F29A5"/>
    <w:rsid w:val="0010005D"/>
    <w:rsid w:val="00102CDA"/>
    <w:rsid w:val="00103D5E"/>
    <w:rsid w:val="00104EA7"/>
    <w:rsid w:val="00105FAD"/>
    <w:rsid w:val="0011155B"/>
    <w:rsid w:val="00111A6A"/>
    <w:rsid w:val="00116957"/>
    <w:rsid w:val="00121BF1"/>
    <w:rsid w:val="0012313C"/>
    <w:rsid w:val="00124FBF"/>
    <w:rsid w:val="00126787"/>
    <w:rsid w:val="00127A8B"/>
    <w:rsid w:val="00134BE5"/>
    <w:rsid w:val="0013549A"/>
    <w:rsid w:val="001412D1"/>
    <w:rsid w:val="001423E3"/>
    <w:rsid w:val="001475EA"/>
    <w:rsid w:val="001504F5"/>
    <w:rsid w:val="001517BD"/>
    <w:rsid w:val="00163FE6"/>
    <w:rsid w:val="0017248D"/>
    <w:rsid w:val="00173626"/>
    <w:rsid w:val="0017614A"/>
    <w:rsid w:val="00176742"/>
    <w:rsid w:val="0018177B"/>
    <w:rsid w:val="001817CD"/>
    <w:rsid w:val="0018235E"/>
    <w:rsid w:val="0018768C"/>
    <w:rsid w:val="00191F32"/>
    <w:rsid w:val="00192BA0"/>
    <w:rsid w:val="00197303"/>
    <w:rsid w:val="001A17EA"/>
    <w:rsid w:val="001A1D17"/>
    <w:rsid w:val="001A22AA"/>
    <w:rsid w:val="001A7A18"/>
    <w:rsid w:val="001B1565"/>
    <w:rsid w:val="001B166D"/>
    <w:rsid w:val="001B28B5"/>
    <w:rsid w:val="001B2975"/>
    <w:rsid w:val="001B43A4"/>
    <w:rsid w:val="001C08A9"/>
    <w:rsid w:val="001C122D"/>
    <w:rsid w:val="001C166F"/>
    <w:rsid w:val="001C17FC"/>
    <w:rsid w:val="001C3C88"/>
    <w:rsid w:val="001C475E"/>
    <w:rsid w:val="001C48B4"/>
    <w:rsid w:val="001D27F4"/>
    <w:rsid w:val="001D2A82"/>
    <w:rsid w:val="001D5542"/>
    <w:rsid w:val="001D569B"/>
    <w:rsid w:val="001D791F"/>
    <w:rsid w:val="001E0EA3"/>
    <w:rsid w:val="001E4995"/>
    <w:rsid w:val="001E7A42"/>
    <w:rsid w:val="001F09DC"/>
    <w:rsid w:val="001F43E6"/>
    <w:rsid w:val="002112C1"/>
    <w:rsid w:val="00213772"/>
    <w:rsid w:val="00215D68"/>
    <w:rsid w:val="00220749"/>
    <w:rsid w:val="0022422C"/>
    <w:rsid w:val="0022724E"/>
    <w:rsid w:val="00230666"/>
    <w:rsid w:val="00231153"/>
    <w:rsid w:val="0023252E"/>
    <w:rsid w:val="00240E8E"/>
    <w:rsid w:val="00241C31"/>
    <w:rsid w:val="00244903"/>
    <w:rsid w:val="00256E7C"/>
    <w:rsid w:val="00257358"/>
    <w:rsid w:val="002647EB"/>
    <w:rsid w:val="00265379"/>
    <w:rsid w:val="002679D5"/>
    <w:rsid w:val="00267A03"/>
    <w:rsid w:val="002714FD"/>
    <w:rsid w:val="00275F94"/>
    <w:rsid w:val="00281B9C"/>
    <w:rsid w:val="002830EF"/>
    <w:rsid w:val="00284C9B"/>
    <w:rsid w:val="00290DEC"/>
    <w:rsid w:val="002935F0"/>
    <w:rsid w:val="002A141B"/>
    <w:rsid w:val="002A26B6"/>
    <w:rsid w:val="002A6A4E"/>
    <w:rsid w:val="002B0C08"/>
    <w:rsid w:val="002B17D9"/>
    <w:rsid w:val="002B38D2"/>
    <w:rsid w:val="002B5A85"/>
    <w:rsid w:val="002B63A7"/>
    <w:rsid w:val="002C2B9C"/>
    <w:rsid w:val="002C48F7"/>
    <w:rsid w:val="002C5139"/>
    <w:rsid w:val="002C5543"/>
    <w:rsid w:val="002D0F7F"/>
    <w:rsid w:val="002D2758"/>
    <w:rsid w:val="002E0198"/>
    <w:rsid w:val="002E0208"/>
    <w:rsid w:val="002E1D7C"/>
    <w:rsid w:val="002E70D9"/>
    <w:rsid w:val="002F1906"/>
    <w:rsid w:val="002F449B"/>
    <w:rsid w:val="002F4D86"/>
    <w:rsid w:val="002F5D69"/>
    <w:rsid w:val="002F7C77"/>
    <w:rsid w:val="00300CB3"/>
    <w:rsid w:val="00302791"/>
    <w:rsid w:val="003027A7"/>
    <w:rsid w:val="0030394B"/>
    <w:rsid w:val="003072C6"/>
    <w:rsid w:val="00307B67"/>
    <w:rsid w:val="00310D8E"/>
    <w:rsid w:val="0031217C"/>
    <w:rsid w:val="00314055"/>
    <w:rsid w:val="00315BBD"/>
    <w:rsid w:val="0031753A"/>
    <w:rsid w:val="00320293"/>
    <w:rsid w:val="00322CC2"/>
    <w:rsid w:val="00324B1B"/>
    <w:rsid w:val="003271DC"/>
    <w:rsid w:val="00327C26"/>
    <w:rsid w:val="00332D3C"/>
    <w:rsid w:val="00334B54"/>
    <w:rsid w:val="0033739E"/>
    <w:rsid w:val="003401CA"/>
    <w:rsid w:val="00343733"/>
    <w:rsid w:val="00352EFB"/>
    <w:rsid w:val="00355886"/>
    <w:rsid w:val="00356814"/>
    <w:rsid w:val="00361F15"/>
    <w:rsid w:val="00364F33"/>
    <w:rsid w:val="003704B8"/>
    <w:rsid w:val="003741AD"/>
    <w:rsid w:val="0038019F"/>
    <w:rsid w:val="00380ADB"/>
    <w:rsid w:val="00382071"/>
    <w:rsid w:val="003822A7"/>
    <w:rsid w:val="00387392"/>
    <w:rsid w:val="003944D3"/>
    <w:rsid w:val="003A2F25"/>
    <w:rsid w:val="003A3E6C"/>
    <w:rsid w:val="003A6C1F"/>
    <w:rsid w:val="003B1FC9"/>
    <w:rsid w:val="003B2807"/>
    <w:rsid w:val="003B6446"/>
    <w:rsid w:val="003C68F2"/>
    <w:rsid w:val="003D1BF7"/>
    <w:rsid w:val="003D58B8"/>
    <w:rsid w:val="003D5CFB"/>
    <w:rsid w:val="003E1F03"/>
    <w:rsid w:val="003E2636"/>
    <w:rsid w:val="003E2E12"/>
    <w:rsid w:val="003E5FB4"/>
    <w:rsid w:val="003F126B"/>
    <w:rsid w:val="003F3476"/>
    <w:rsid w:val="003F39CE"/>
    <w:rsid w:val="00401108"/>
    <w:rsid w:val="00402927"/>
    <w:rsid w:val="00406B13"/>
    <w:rsid w:val="00407993"/>
    <w:rsid w:val="00410AFD"/>
    <w:rsid w:val="00411833"/>
    <w:rsid w:val="00412908"/>
    <w:rsid w:val="00412F64"/>
    <w:rsid w:val="004171B2"/>
    <w:rsid w:val="00417BEB"/>
    <w:rsid w:val="00417CC6"/>
    <w:rsid w:val="00425E59"/>
    <w:rsid w:val="00427D75"/>
    <w:rsid w:val="004324FF"/>
    <w:rsid w:val="00432A55"/>
    <w:rsid w:val="004372B7"/>
    <w:rsid w:val="004376BE"/>
    <w:rsid w:val="0044260A"/>
    <w:rsid w:val="00444D82"/>
    <w:rsid w:val="00452E58"/>
    <w:rsid w:val="00453EBB"/>
    <w:rsid w:val="004564C6"/>
    <w:rsid w:val="00457E06"/>
    <w:rsid w:val="004606F5"/>
    <w:rsid w:val="004610CC"/>
    <w:rsid w:val="00463CDC"/>
    <w:rsid w:val="00464646"/>
    <w:rsid w:val="00465464"/>
    <w:rsid w:val="004656DA"/>
    <w:rsid w:val="00465E87"/>
    <w:rsid w:val="0047786A"/>
    <w:rsid w:val="00477A65"/>
    <w:rsid w:val="00481D4B"/>
    <w:rsid w:val="00482DB3"/>
    <w:rsid w:val="00493E80"/>
    <w:rsid w:val="004A0236"/>
    <w:rsid w:val="004A07EA"/>
    <w:rsid w:val="004A10D7"/>
    <w:rsid w:val="004A369A"/>
    <w:rsid w:val="004A3B3E"/>
    <w:rsid w:val="004B1D09"/>
    <w:rsid w:val="004C1B54"/>
    <w:rsid w:val="004C278E"/>
    <w:rsid w:val="004C4651"/>
    <w:rsid w:val="004C5777"/>
    <w:rsid w:val="004D0173"/>
    <w:rsid w:val="004D0EA9"/>
    <w:rsid w:val="004D1056"/>
    <w:rsid w:val="004D1AAA"/>
    <w:rsid w:val="004D2B7B"/>
    <w:rsid w:val="004D3577"/>
    <w:rsid w:val="004E1EDE"/>
    <w:rsid w:val="004E21E2"/>
    <w:rsid w:val="004E293F"/>
    <w:rsid w:val="004E380D"/>
    <w:rsid w:val="004E485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0BE"/>
    <w:rsid w:val="005022C9"/>
    <w:rsid w:val="00502981"/>
    <w:rsid w:val="00502B8F"/>
    <w:rsid w:val="0050779D"/>
    <w:rsid w:val="00512371"/>
    <w:rsid w:val="005139EA"/>
    <w:rsid w:val="00520BBB"/>
    <w:rsid w:val="00521345"/>
    <w:rsid w:val="00524310"/>
    <w:rsid w:val="00525456"/>
    <w:rsid w:val="00526655"/>
    <w:rsid w:val="00532236"/>
    <w:rsid w:val="005338EA"/>
    <w:rsid w:val="005403EF"/>
    <w:rsid w:val="005407F2"/>
    <w:rsid w:val="00541DFE"/>
    <w:rsid w:val="00543E6C"/>
    <w:rsid w:val="00544184"/>
    <w:rsid w:val="00547BD0"/>
    <w:rsid w:val="00551789"/>
    <w:rsid w:val="00553AED"/>
    <w:rsid w:val="00553F68"/>
    <w:rsid w:val="005552FD"/>
    <w:rsid w:val="005600E5"/>
    <w:rsid w:val="00564E8F"/>
    <w:rsid w:val="005672FF"/>
    <w:rsid w:val="00571D22"/>
    <w:rsid w:val="005728A4"/>
    <w:rsid w:val="00573EC9"/>
    <w:rsid w:val="005763FC"/>
    <w:rsid w:val="00576A9A"/>
    <w:rsid w:val="00576EB4"/>
    <w:rsid w:val="00577B30"/>
    <w:rsid w:val="00582768"/>
    <w:rsid w:val="00583461"/>
    <w:rsid w:val="005856A4"/>
    <w:rsid w:val="00587DD8"/>
    <w:rsid w:val="00590730"/>
    <w:rsid w:val="0059273A"/>
    <w:rsid w:val="00593FBB"/>
    <w:rsid w:val="005963B6"/>
    <w:rsid w:val="005A3051"/>
    <w:rsid w:val="005A53FE"/>
    <w:rsid w:val="005A5491"/>
    <w:rsid w:val="005B2978"/>
    <w:rsid w:val="005B7D22"/>
    <w:rsid w:val="005C029E"/>
    <w:rsid w:val="005D690A"/>
    <w:rsid w:val="005E085D"/>
    <w:rsid w:val="005E3FA7"/>
    <w:rsid w:val="005E4959"/>
    <w:rsid w:val="005E5C86"/>
    <w:rsid w:val="005E7963"/>
    <w:rsid w:val="005F0C2A"/>
    <w:rsid w:val="005F218C"/>
    <w:rsid w:val="005F4523"/>
    <w:rsid w:val="005F5961"/>
    <w:rsid w:val="005F7397"/>
    <w:rsid w:val="00601D4D"/>
    <w:rsid w:val="006021B4"/>
    <w:rsid w:val="00602EEF"/>
    <w:rsid w:val="00605B5B"/>
    <w:rsid w:val="006062D8"/>
    <w:rsid w:val="00606827"/>
    <w:rsid w:val="00610F8C"/>
    <w:rsid w:val="00616464"/>
    <w:rsid w:val="00620262"/>
    <w:rsid w:val="00621B4C"/>
    <w:rsid w:val="00624CD8"/>
    <w:rsid w:val="006251FC"/>
    <w:rsid w:val="00627C52"/>
    <w:rsid w:val="00630937"/>
    <w:rsid w:val="006320C5"/>
    <w:rsid w:val="0063392A"/>
    <w:rsid w:val="00637B9B"/>
    <w:rsid w:val="00651BF9"/>
    <w:rsid w:val="00653B84"/>
    <w:rsid w:val="00653E0D"/>
    <w:rsid w:val="00660BB7"/>
    <w:rsid w:val="00664158"/>
    <w:rsid w:val="006642FA"/>
    <w:rsid w:val="006741D0"/>
    <w:rsid w:val="00676255"/>
    <w:rsid w:val="00683081"/>
    <w:rsid w:val="00683E01"/>
    <w:rsid w:val="006865C8"/>
    <w:rsid w:val="00686B48"/>
    <w:rsid w:val="00687038"/>
    <w:rsid w:val="0068714E"/>
    <w:rsid w:val="006872F5"/>
    <w:rsid w:val="006929F7"/>
    <w:rsid w:val="00692A1D"/>
    <w:rsid w:val="0069374A"/>
    <w:rsid w:val="00694AB8"/>
    <w:rsid w:val="00695ED3"/>
    <w:rsid w:val="00695EF7"/>
    <w:rsid w:val="0069649E"/>
    <w:rsid w:val="0069699D"/>
    <w:rsid w:val="006B2C51"/>
    <w:rsid w:val="006B6361"/>
    <w:rsid w:val="006D24CE"/>
    <w:rsid w:val="006D360C"/>
    <w:rsid w:val="006D5AC9"/>
    <w:rsid w:val="006D66ED"/>
    <w:rsid w:val="006E786B"/>
    <w:rsid w:val="006F1A43"/>
    <w:rsid w:val="006F2E6F"/>
    <w:rsid w:val="006F3E0E"/>
    <w:rsid w:val="006F3E35"/>
    <w:rsid w:val="007002B1"/>
    <w:rsid w:val="00704EB7"/>
    <w:rsid w:val="00705742"/>
    <w:rsid w:val="007104FE"/>
    <w:rsid w:val="00711B0C"/>
    <w:rsid w:val="007121A2"/>
    <w:rsid w:val="00713981"/>
    <w:rsid w:val="007176D6"/>
    <w:rsid w:val="007250F2"/>
    <w:rsid w:val="00727D54"/>
    <w:rsid w:val="00731EF2"/>
    <w:rsid w:val="007342CA"/>
    <w:rsid w:val="007344C5"/>
    <w:rsid w:val="00734959"/>
    <w:rsid w:val="00735137"/>
    <w:rsid w:val="0073520D"/>
    <w:rsid w:val="007429CC"/>
    <w:rsid w:val="007612E4"/>
    <w:rsid w:val="0076495E"/>
    <w:rsid w:val="0077314E"/>
    <w:rsid w:val="00777C85"/>
    <w:rsid w:val="00780226"/>
    <w:rsid w:val="00781AB4"/>
    <w:rsid w:val="007874C8"/>
    <w:rsid w:val="007923B7"/>
    <w:rsid w:val="00792616"/>
    <w:rsid w:val="007926BB"/>
    <w:rsid w:val="0079344C"/>
    <w:rsid w:val="007968AE"/>
    <w:rsid w:val="007A0283"/>
    <w:rsid w:val="007A1655"/>
    <w:rsid w:val="007A6CFA"/>
    <w:rsid w:val="007C02C7"/>
    <w:rsid w:val="007C04F5"/>
    <w:rsid w:val="007C21EE"/>
    <w:rsid w:val="007C44A0"/>
    <w:rsid w:val="007C59B1"/>
    <w:rsid w:val="007D106E"/>
    <w:rsid w:val="007D3A2E"/>
    <w:rsid w:val="007D6652"/>
    <w:rsid w:val="007E245D"/>
    <w:rsid w:val="007E343D"/>
    <w:rsid w:val="007E6D53"/>
    <w:rsid w:val="007F2163"/>
    <w:rsid w:val="007F4383"/>
    <w:rsid w:val="007F5858"/>
    <w:rsid w:val="007F6862"/>
    <w:rsid w:val="00801601"/>
    <w:rsid w:val="0080169A"/>
    <w:rsid w:val="008036A7"/>
    <w:rsid w:val="00810991"/>
    <w:rsid w:val="00814A9B"/>
    <w:rsid w:val="00814F66"/>
    <w:rsid w:val="008179CA"/>
    <w:rsid w:val="00817C9E"/>
    <w:rsid w:val="008205AF"/>
    <w:rsid w:val="00821C4E"/>
    <w:rsid w:val="008225E5"/>
    <w:rsid w:val="0082523D"/>
    <w:rsid w:val="00831053"/>
    <w:rsid w:val="008314D2"/>
    <w:rsid w:val="0083254D"/>
    <w:rsid w:val="00835E70"/>
    <w:rsid w:val="00836249"/>
    <w:rsid w:val="00836F00"/>
    <w:rsid w:val="00846192"/>
    <w:rsid w:val="00850806"/>
    <w:rsid w:val="008516B0"/>
    <w:rsid w:val="00853D47"/>
    <w:rsid w:val="00855EBF"/>
    <w:rsid w:val="00856A1B"/>
    <w:rsid w:val="008621C3"/>
    <w:rsid w:val="00865486"/>
    <w:rsid w:val="008669BE"/>
    <w:rsid w:val="00871F0C"/>
    <w:rsid w:val="00873EE8"/>
    <w:rsid w:val="00876275"/>
    <w:rsid w:val="00882B99"/>
    <w:rsid w:val="00885EDC"/>
    <w:rsid w:val="00886121"/>
    <w:rsid w:val="00894891"/>
    <w:rsid w:val="008A2452"/>
    <w:rsid w:val="008A295B"/>
    <w:rsid w:val="008A329C"/>
    <w:rsid w:val="008A5B97"/>
    <w:rsid w:val="008A6604"/>
    <w:rsid w:val="008A6972"/>
    <w:rsid w:val="008B1C73"/>
    <w:rsid w:val="008B2962"/>
    <w:rsid w:val="008B5482"/>
    <w:rsid w:val="008C11F4"/>
    <w:rsid w:val="008C1745"/>
    <w:rsid w:val="008C2BEC"/>
    <w:rsid w:val="008C6523"/>
    <w:rsid w:val="008C6B0C"/>
    <w:rsid w:val="008C6D0E"/>
    <w:rsid w:val="008D09D2"/>
    <w:rsid w:val="008D39C5"/>
    <w:rsid w:val="008D6B53"/>
    <w:rsid w:val="008E1D89"/>
    <w:rsid w:val="008E3E3E"/>
    <w:rsid w:val="008E57B2"/>
    <w:rsid w:val="008F4A1C"/>
    <w:rsid w:val="008F5F87"/>
    <w:rsid w:val="00900A34"/>
    <w:rsid w:val="00900D2E"/>
    <w:rsid w:val="009019BC"/>
    <w:rsid w:val="00903699"/>
    <w:rsid w:val="00903903"/>
    <w:rsid w:val="00906132"/>
    <w:rsid w:val="00907073"/>
    <w:rsid w:val="00913D72"/>
    <w:rsid w:val="0091620E"/>
    <w:rsid w:val="009208F5"/>
    <w:rsid w:val="009252E5"/>
    <w:rsid w:val="00927D51"/>
    <w:rsid w:val="00932272"/>
    <w:rsid w:val="00932862"/>
    <w:rsid w:val="00935D60"/>
    <w:rsid w:val="0094038A"/>
    <w:rsid w:val="009447BB"/>
    <w:rsid w:val="00944C48"/>
    <w:rsid w:val="00946335"/>
    <w:rsid w:val="009513C4"/>
    <w:rsid w:val="00955E55"/>
    <w:rsid w:val="00956C58"/>
    <w:rsid w:val="00960D5D"/>
    <w:rsid w:val="00962200"/>
    <w:rsid w:val="00966F54"/>
    <w:rsid w:val="0097467B"/>
    <w:rsid w:val="00975E21"/>
    <w:rsid w:val="00975E61"/>
    <w:rsid w:val="00976E31"/>
    <w:rsid w:val="00977C63"/>
    <w:rsid w:val="00980087"/>
    <w:rsid w:val="00980C0B"/>
    <w:rsid w:val="0098524F"/>
    <w:rsid w:val="00987ABE"/>
    <w:rsid w:val="009906C7"/>
    <w:rsid w:val="00992A6B"/>
    <w:rsid w:val="009963CD"/>
    <w:rsid w:val="009A2455"/>
    <w:rsid w:val="009A41A1"/>
    <w:rsid w:val="009A463C"/>
    <w:rsid w:val="009B266D"/>
    <w:rsid w:val="009B2C66"/>
    <w:rsid w:val="009B5CBF"/>
    <w:rsid w:val="009C184A"/>
    <w:rsid w:val="009C2CA5"/>
    <w:rsid w:val="009C3BA5"/>
    <w:rsid w:val="009C5844"/>
    <w:rsid w:val="009C5E8F"/>
    <w:rsid w:val="009D3E45"/>
    <w:rsid w:val="009D75D0"/>
    <w:rsid w:val="009F351F"/>
    <w:rsid w:val="009F3F89"/>
    <w:rsid w:val="009F480E"/>
    <w:rsid w:val="00A0035D"/>
    <w:rsid w:val="00A00DD5"/>
    <w:rsid w:val="00A022A2"/>
    <w:rsid w:val="00A024E4"/>
    <w:rsid w:val="00A02D15"/>
    <w:rsid w:val="00A0761E"/>
    <w:rsid w:val="00A11403"/>
    <w:rsid w:val="00A14D85"/>
    <w:rsid w:val="00A175B1"/>
    <w:rsid w:val="00A24D10"/>
    <w:rsid w:val="00A268F3"/>
    <w:rsid w:val="00A26B0D"/>
    <w:rsid w:val="00A3735A"/>
    <w:rsid w:val="00A37771"/>
    <w:rsid w:val="00A42F1B"/>
    <w:rsid w:val="00A44EBE"/>
    <w:rsid w:val="00A479D5"/>
    <w:rsid w:val="00A546BC"/>
    <w:rsid w:val="00A55989"/>
    <w:rsid w:val="00A55E4B"/>
    <w:rsid w:val="00A5694A"/>
    <w:rsid w:val="00A63DA4"/>
    <w:rsid w:val="00A67780"/>
    <w:rsid w:val="00A74743"/>
    <w:rsid w:val="00A75CD5"/>
    <w:rsid w:val="00A75DFB"/>
    <w:rsid w:val="00A763D5"/>
    <w:rsid w:val="00A83DF3"/>
    <w:rsid w:val="00A85915"/>
    <w:rsid w:val="00A86270"/>
    <w:rsid w:val="00A952AB"/>
    <w:rsid w:val="00A9783D"/>
    <w:rsid w:val="00A97B5E"/>
    <w:rsid w:val="00AA45E6"/>
    <w:rsid w:val="00AA5A37"/>
    <w:rsid w:val="00AB0C28"/>
    <w:rsid w:val="00AB489C"/>
    <w:rsid w:val="00AB50C1"/>
    <w:rsid w:val="00AB6936"/>
    <w:rsid w:val="00AC0C3B"/>
    <w:rsid w:val="00AC285F"/>
    <w:rsid w:val="00AC2D63"/>
    <w:rsid w:val="00AC31D2"/>
    <w:rsid w:val="00AC41D5"/>
    <w:rsid w:val="00AC5FC1"/>
    <w:rsid w:val="00AD03D8"/>
    <w:rsid w:val="00AD0711"/>
    <w:rsid w:val="00AD704E"/>
    <w:rsid w:val="00AE188D"/>
    <w:rsid w:val="00AE5FE0"/>
    <w:rsid w:val="00AE60B7"/>
    <w:rsid w:val="00AE61A4"/>
    <w:rsid w:val="00AE6368"/>
    <w:rsid w:val="00AE7B8A"/>
    <w:rsid w:val="00AF2AB7"/>
    <w:rsid w:val="00AF2B1C"/>
    <w:rsid w:val="00AF4D3F"/>
    <w:rsid w:val="00AF7D10"/>
    <w:rsid w:val="00B0300B"/>
    <w:rsid w:val="00B03203"/>
    <w:rsid w:val="00B05457"/>
    <w:rsid w:val="00B057F5"/>
    <w:rsid w:val="00B060F0"/>
    <w:rsid w:val="00B06A41"/>
    <w:rsid w:val="00B128A0"/>
    <w:rsid w:val="00B16D94"/>
    <w:rsid w:val="00B20240"/>
    <w:rsid w:val="00B20624"/>
    <w:rsid w:val="00B23281"/>
    <w:rsid w:val="00B24E2E"/>
    <w:rsid w:val="00B2553D"/>
    <w:rsid w:val="00B2614A"/>
    <w:rsid w:val="00B27571"/>
    <w:rsid w:val="00B31EA6"/>
    <w:rsid w:val="00B33C41"/>
    <w:rsid w:val="00B3438D"/>
    <w:rsid w:val="00B356F0"/>
    <w:rsid w:val="00B4164B"/>
    <w:rsid w:val="00B4746A"/>
    <w:rsid w:val="00B475C8"/>
    <w:rsid w:val="00B5409A"/>
    <w:rsid w:val="00B55574"/>
    <w:rsid w:val="00B55B33"/>
    <w:rsid w:val="00B604BB"/>
    <w:rsid w:val="00B63564"/>
    <w:rsid w:val="00B6525D"/>
    <w:rsid w:val="00B65ABA"/>
    <w:rsid w:val="00B665D1"/>
    <w:rsid w:val="00B67097"/>
    <w:rsid w:val="00B6790F"/>
    <w:rsid w:val="00B71B3B"/>
    <w:rsid w:val="00B76E06"/>
    <w:rsid w:val="00B773A1"/>
    <w:rsid w:val="00B838BE"/>
    <w:rsid w:val="00B84D7A"/>
    <w:rsid w:val="00B853DB"/>
    <w:rsid w:val="00B87D61"/>
    <w:rsid w:val="00B92491"/>
    <w:rsid w:val="00B93948"/>
    <w:rsid w:val="00B94C54"/>
    <w:rsid w:val="00BA2667"/>
    <w:rsid w:val="00BA4BC7"/>
    <w:rsid w:val="00BA55B7"/>
    <w:rsid w:val="00BA5E47"/>
    <w:rsid w:val="00BA7D57"/>
    <w:rsid w:val="00BA7D8E"/>
    <w:rsid w:val="00BB156E"/>
    <w:rsid w:val="00BB3330"/>
    <w:rsid w:val="00BB47D7"/>
    <w:rsid w:val="00BB4A62"/>
    <w:rsid w:val="00BB5257"/>
    <w:rsid w:val="00BC01C1"/>
    <w:rsid w:val="00BC288D"/>
    <w:rsid w:val="00BC45A1"/>
    <w:rsid w:val="00BC5A34"/>
    <w:rsid w:val="00BC6216"/>
    <w:rsid w:val="00BC68D7"/>
    <w:rsid w:val="00BD0501"/>
    <w:rsid w:val="00BD17F5"/>
    <w:rsid w:val="00BD3B53"/>
    <w:rsid w:val="00BD5031"/>
    <w:rsid w:val="00BD6E05"/>
    <w:rsid w:val="00BE54D0"/>
    <w:rsid w:val="00BE76DA"/>
    <w:rsid w:val="00BF1B34"/>
    <w:rsid w:val="00BF1E50"/>
    <w:rsid w:val="00BF6B6C"/>
    <w:rsid w:val="00BF7251"/>
    <w:rsid w:val="00BF7D9E"/>
    <w:rsid w:val="00BF7F28"/>
    <w:rsid w:val="00C01909"/>
    <w:rsid w:val="00C05787"/>
    <w:rsid w:val="00C075AB"/>
    <w:rsid w:val="00C10B07"/>
    <w:rsid w:val="00C11871"/>
    <w:rsid w:val="00C121FE"/>
    <w:rsid w:val="00C13059"/>
    <w:rsid w:val="00C14851"/>
    <w:rsid w:val="00C156D4"/>
    <w:rsid w:val="00C167A3"/>
    <w:rsid w:val="00C178AC"/>
    <w:rsid w:val="00C2181C"/>
    <w:rsid w:val="00C2657D"/>
    <w:rsid w:val="00C26A87"/>
    <w:rsid w:val="00C33803"/>
    <w:rsid w:val="00C3745D"/>
    <w:rsid w:val="00C416E1"/>
    <w:rsid w:val="00C47BF8"/>
    <w:rsid w:val="00C51B1C"/>
    <w:rsid w:val="00C53DCE"/>
    <w:rsid w:val="00C55E7A"/>
    <w:rsid w:val="00C571B7"/>
    <w:rsid w:val="00C6469B"/>
    <w:rsid w:val="00C64DB2"/>
    <w:rsid w:val="00C655F2"/>
    <w:rsid w:val="00C65B4C"/>
    <w:rsid w:val="00C65B61"/>
    <w:rsid w:val="00C70E53"/>
    <w:rsid w:val="00C72979"/>
    <w:rsid w:val="00C74083"/>
    <w:rsid w:val="00C7429C"/>
    <w:rsid w:val="00C75633"/>
    <w:rsid w:val="00C81529"/>
    <w:rsid w:val="00C81BA6"/>
    <w:rsid w:val="00C8377C"/>
    <w:rsid w:val="00C877CD"/>
    <w:rsid w:val="00C902E9"/>
    <w:rsid w:val="00C908B7"/>
    <w:rsid w:val="00C91D81"/>
    <w:rsid w:val="00C92A42"/>
    <w:rsid w:val="00C9529B"/>
    <w:rsid w:val="00C97D05"/>
    <w:rsid w:val="00CA18F2"/>
    <w:rsid w:val="00CA4871"/>
    <w:rsid w:val="00CA6722"/>
    <w:rsid w:val="00CA6D4E"/>
    <w:rsid w:val="00CA7B4B"/>
    <w:rsid w:val="00CB36A8"/>
    <w:rsid w:val="00CB4FC7"/>
    <w:rsid w:val="00CC07F4"/>
    <w:rsid w:val="00CC139A"/>
    <w:rsid w:val="00CC1E7A"/>
    <w:rsid w:val="00CC4F64"/>
    <w:rsid w:val="00CC6077"/>
    <w:rsid w:val="00CD058C"/>
    <w:rsid w:val="00CD3B98"/>
    <w:rsid w:val="00CD4216"/>
    <w:rsid w:val="00CD518C"/>
    <w:rsid w:val="00CD733F"/>
    <w:rsid w:val="00CD7C65"/>
    <w:rsid w:val="00CE0942"/>
    <w:rsid w:val="00CE3121"/>
    <w:rsid w:val="00CE7CA5"/>
    <w:rsid w:val="00CF1D81"/>
    <w:rsid w:val="00CF2DC9"/>
    <w:rsid w:val="00CF7CB6"/>
    <w:rsid w:val="00D037D5"/>
    <w:rsid w:val="00D10BC5"/>
    <w:rsid w:val="00D14FD3"/>
    <w:rsid w:val="00D21160"/>
    <w:rsid w:val="00D311AB"/>
    <w:rsid w:val="00D32290"/>
    <w:rsid w:val="00D325A8"/>
    <w:rsid w:val="00D34DAB"/>
    <w:rsid w:val="00D43989"/>
    <w:rsid w:val="00D442AD"/>
    <w:rsid w:val="00D50FCF"/>
    <w:rsid w:val="00D54C37"/>
    <w:rsid w:val="00D5618A"/>
    <w:rsid w:val="00D5784B"/>
    <w:rsid w:val="00D60057"/>
    <w:rsid w:val="00D62D1F"/>
    <w:rsid w:val="00D63EFB"/>
    <w:rsid w:val="00D658AF"/>
    <w:rsid w:val="00D70A79"/>
    <w:rsid w:val="00D73CD5"/>
    <w:rsid w:val="00D73E92"/>
    <w:rsid w:val="00D75393"/>
    <w:rsid w:val="00D771F5"/>
    <w:rsid w:val="00D83DE9"/>
    <w:rsid w:val="00D84141"/>
    <w:rsid w:val="00D8450D"/>
    <w:rsid w:val="00D84C4D"/>
    <w:rsid w:val="00D87420"/>
    <w:rsid w:val="00D95AF9"/>
    <w:rsid w:val="00D97115"/>
    <w:rsid w:val="00D97142"/>
    <w:rsid w:val="00DA09C9"/>
    <w:rsid w:val="00DA1822"/>
    <w:rsid w:val="00DB5E1F"/>
    <w:rsid w:val="00DC19D8"/>
    <w:rsid w:val="00DC2613"/>
    <w:rsid w:val="00DC3B15"/>
    <w:rsid w:val="00DC4512"/>
    <w:rsid w:val="00DD3691"/>
    <w:rsid w:val="00DD4B55"/>
    <w:rsid w:val="00DE0BEA"/>
    <w:rsid w:val="00DE1E90"/>
    <w:rsid w:val="00DE24E6"/>
    <w:rsid w:val="00DE2E80"/>
    <w:rsid w:val="00DE5C8A"/>
    <w:rsid w:val="00DF07AD"/>
    <w:rsid w:val="00DF3364"/>
    <w:rsid w:val="00E055BB"/>
    <w:rsid w:val="00E11988"/>
    <w:rsid w:val="00E11AA0"/>
    <w:rsid w:val="00E15DA9"/>
    <w:rsid w:val="00E17595"/>
    <w:rsid w:val="00E2095D"/>
    <w:rsid w:val="00E30414"/>
    <w:rsid w:val="00E312AD"/>
    <w:rsid w:val="00E35F14"/>
    <w:rsid w:val="00E40769"/>
    <w:rsid w:val="00E42343"/>
    <w:rsid w:val="00E42E8B"/>
    <w:rsid w:val="00E43DAC"/>
    <w:rsid w:val="00E60F12"/>
    <w:rsid w:val="00E652FB"/>
    <w:rsid w:val="00E66B45"/>
    <w:rsid w:val="00E66C20"/>
    <w:rsid w:val="00E71C46"/>
    <w:rsid w:val="00E731B7"/>
    <w:rsid w:val="00E75ED2"/>
    <w:rsid w:val="00E75FB7"/>
    <w:rsid w:val="00E7697A"/>
    <w:rsid w:val="00E8280C"/>
    <w:rsid w:val="00E83E4C"/>
    <w:rsid w:val="00E91933"/>
    <w:rsid w:val="00E92A81"/>
    <w:rsid w:val="00E969B1"/>
    <w:rsid w:val="00EA74AF"/>
    <w:rsid w:val="00EB6552"/>
    <w:rsid w:val="00EB6D7E"/>
    <w:rsid w:val="00EC18E6"/>
    <w:rsid w:val="00EC1984"/>
    <w:rsid w:val="00EC234C"/>
    <w:rsid w:val="00ED006B"/>
    <w:rsid w:val="00ED3529"/>
    <w:rsid w:val="00ED4D17"/>
    <w:rsid w:val="00EE6CD3"/>
    <w:rsid w:val="00EF20D7"/>
    <w:rsid w:val="00EF3419"/>
    <w:rsid w:val="00EF4660"/>
    <w:rsid w:val="00EF7FEF"/>
    <w:rsid w:val="00F0119C"/>
    <w:rsid w:val="00F02BDB"/>
    <w:rsid w:val="00F0441B"/>
    <w:rsid w:val="00F07623"/>
    <w:rsid w:val="00F07D0B"/>
    <w:rsid w:val="00F20126"/>
    <w:rsid w:val="00F2073E"/>
    <w:rsid w:val="00F3136B"/>
    <w:rsid w:val="00F314F1"/>
    <w:rsid w:val="00F327EA"/>
    <w:rsid w:val="00F332AC"/>
    <w:rsid w:val="00F33641"/>
    <w:rsid w:val="00F36995"/>
    <w:rsid w:val="00F42842"/>
    <w:rsid w:val="00F43EE0"/>
    <w:rsid w:val="00F46BD3"/>
    <w:rsid w:val="00F46E40"/>
    <w:rsid w:val="00F474E4"/>
    <w:rsid w:val="00F475DD"/>
    <w:rsid w:val="00F4760A"/>
    <w:rsid w:val="00F51CB7"/>
    <w:rsid w:val="00F529FE"/>
    <w:rsid w:val="00F52B13"/>
    <w:rsid w:val="00F52B8E"/>
    <w:rsid w:val="00F53CFD"/>
    <w:rsid w:val="00F54AF5"/>
    <w:rsid w:val="00F55004"/>
    <w:rsid w:val="00F557E3"/>
    <w:rsid w:val="00F56042"/>
    <w:rsid w:val="00F60BD5"/>
    <w:rsid w:val="00F61E78"/>
    <w:rsid w:val="00F635C5"/>
    <w:rsid w:val="00F64ACD"/>
    <w:rsid w:val="00F72187"/>
    <w:rsid w:val="00F736E3"/>
    <w:rsid w:val="00F767E8"/>
    <w:rsid w:val="00F83F28"/>
    <w:rsid w:val="00F86A3F"/>
    <w:rsid w:val="00F91297"/>
    <w:rsid w:val="00F9133B"/>
    <w:rsid w:val="00F91C2D"/>
    <w:rsid w:val="00F9501E"/>
    <w:rsid w:val="00F97730"/>
    <w:rsid w:val="00FA0F9B"/>
    <w:rsid w:val="00FA2A6C"/>
    <w:rsid w:val="00FA7069"/>
    <w:rsid w:val="00FB32A4"/>
    <w:rsid w:val="00FB385B"/>
    <w:rsid w:val="00FB3969"/>
    <w:rsid w:val="00FB594D"/>
    <w:rsid w:val="00FC12A2"/>
    <w:rsid w:val="00FC2C68"/>
    <w:rsid w:val="00FC3017"/>
    <w:rsid w:val="00FC49BB"/>
    <w:rsid w:val="00FD12C7"/>
    <w:rsid w:val="00FD21A6"/>
    <w:rsid w:val="00FD4135"/>
    <w:rsid w:val="00FD616B"/>
    <w:rsid w:val="00FE35F6"/>
    <w:rsid w:val="00FE367F"/>
    <w:rsid w:val="00FF29DC"/>
    <w:rsid w:val="00FF3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1FFDB4"/>
  <w15:docId w15:val="{97490F68-C4C3-4CA8-9ACE-AFD7D91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70D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4606F5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D03061" w:themeColor="text2"/>
      <w:sz w:val="44"/>
      <w:szCs w:val="44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4606F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03061" w:themeColor="text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DHHS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606F5"/>
    <w:rPr>
      <w:rFonts w:ascii="Arial" w:hAnsi="Arial"/>
      <w:bCs/>
      <w:color w:val="D03061" w:themeColor="text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4606F5"/>
    <w:rPr>
      <w:rFonts w:ascii="Arial" w:hAnsi="Arial"/>
      <w:b/>
      <w:color w:val="D03061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DHHSheader"/>
    <w:uiPriority w:val="98"/>
    <w:rsid w:val="004E380D"/>
  </w:style>
  <w:style w:type="paragraph" w:styleId="Footer">
    <w:name w:val="footer"/>
    <w:basedOn w:val="DHHSfooter"/>
    <w:uiPriority w:val="98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4606F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5"/>
      </w:tcPr>
    </w:tblStylePr>
  </w:style>
  <w:style w:type="character" w:styleId="PageNumber">
    <w:name w:val="page number"/>
    <w:basedOn w:val="DefaultParagraphFont"/>
    <w:semiHidden/>
    <w:rsid w:val="00DA7946"/>
  </w:style>
  <w:style w:type="paragraph" w:customStyle="1" w:styleId="DHHSreportsubtitle">
    <w:name w:val="DHHS report subtitle"/>
    <w:basedOn w:val="Normal"/>
    <w:uiPriority w:val="4"/>
    <w:rsid w:val="00630937"/>
    <w:pPr>
      <w:spacing w:after="120" w:line="380" w:lineRule="atLeast"/>
    </w:pPr>
    <w:rPr>
      <w:rFonts w:ascii="Arial" w:hAnsi="Arial"/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DHHSreportmaintitle">
    <w:name w:val="DHHS report main title"/>
    <w:uiPriority w:val="4"/>
    <w:rsid w:val="004606F5"/>
    <w:pPr>
      <w:keepLines/>
      <w:spacing w:after="240" w:line="580" w:lineRule="atLeast"/>
    </w:pPr>
    <w:rPr>
      <w:rFonts w:ascii="Arial" w:hAnsi="Arial"/>
      <w:color w:val="D03061" w:themeColor="text2"/>
      <w:sz w:val="50"/>
      <w:szCs w:val="24"/>
      <w:lang w:eastAsia="en-US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AB489C"/>
    <w:pPr>
      <w:keepNext/>
      <w:keepLines/>
      <w:tabs>
        <w:tab w:val="right" w:leader="dot" w:pos="9299"/>
      </w:tabs>
      <w:spacing w:before="160" w:after="60" w:line="270" w:lineRule="atLeast"/>
      <w:ind w:right="68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213772"/>
    <w:pPr>
      <w:keepNext/>
      <w:keepLines/>
      <w:tabs>
        <w:tab w:val="right" w:leader="dot" w:pos="9299"/>
      </w:tabs>
      <w:spacing w:after="60" w:line="270" w:lineRule="atLeast"/>
      <w:ind w:right="680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HHSreportmaintitlewhite">
    <w:name w:val="DHHS report main title white"/>
    <w:uiPriority w:val="4"/>
    <w:rsid w:val="00871F0C"/>
    <w:pPr>
      <w:keepLines/>
      <w:spacing w:after="120" w:line="216" w:lineRule="auto"/>
    </w:pPr>
    <w:rPr>
      <w:rFonts w:ascii="Arial" w:hAnsi="Arial"/>
      <w:bCs/>
      <w:caps/>
      <w:color w:val="FFFFFF"/>
      <w:sz w:val="68"/>
      <w:szCs w:val="68"/>
      <w:lang w:eastAsia="en-US"/>
    </w:rPr>
  </w:style>
  <w:style w:type="paragraph" w:customStyle="1" w:styleId="DHHSreportsubtitlewhite">
    <w:name w:val="DHHS report subtitle white"/>
    <w:uiPriority w:val="4"/>
    <w:rsid w:val="00D84C4D"/>
    <w:pPr>
      <w:spacing w:after="120" w:line="380" w:lineRule="atLeast"/>
    </w:pPr>
    <w:rPr>
      <w:rFonts w:ascii="Arial" w:hAnsi="Arial"/>
      <w:b/>
      <w:bCs/>
      <w:color w:val="FFFFFF"/>
      <w:sz w:val="30"/>
      <w:szCs w:val="30"/>
      <w:lang w:eastAsia="en-US"/>
    </w:rPr>
  </w:style>
  <w:style w:type="paragraph" w:customStyle="1" w:styleId="Coverinstructions">
    <w:name w:val="Cover instructions"/>
    <w:rsid w:val="0005633B"/>
    <w:pPr>
      <w:spacing w:after="200" w:line="320" w:lineRule="atLeast"/>
    </w:pPr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7F6862"/>
    <w:rPr>
      <w:color w:val="0072CE"/>
      <w:u w:val="dotted"/>
    </w:rPr>
  </w:style>
  <w:style w:type="paragraph" w:customStyle="1" w:styleId="DHHSbody">
    <w:name w:val="DHHS body"/>
    <w:qFormat/>
    <w:rsid w:val="00E304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7F5858"/>
    <w:pPr>
      <w:numPr>
        <w:numId w:val="2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8669BE"/>
    <w:pPr>
      <w:numPr>
        <w:numId w:val="31"/>
      </w:numPr>
    </w:pPr>
  </w:style>
  <w:style w:type="paragraph" w:customStyle="1" w:styleId="DHHSnumberloweralphaindent">
    <w:name w:val="DHHS number lower alpha indent"/>
    <w:basedOn w:val="DHHSbody"/>
    <w:uiPriority w:val="3"/>
    <w:rsid w:val="008669BE"/>
    <w:pPr>
      <w:numPr>
        <w:ilvl w:val="1"/>
        <w:numId w:val="31"/>
      </w:numPr>
    </w:pPr>
  </w:style>
  <w:style w:type="paragraph" w:customStyle="1" w:styleId="DHHStablefigurenote">
    <w:name w:val="DHHS table/figure note"/>
    <w:uiPriority w:val="4"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tabletext">
    <w:name w:val="DHHS table text"/>
    <w:uiPriority w:val="3"/>
    <w:qFormat/>
    <w:rsid w:val="00E30414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figurecaption">
    <w:name w:val="DHHS figure caption"/>
    <w:next w:val="DHHSbody"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footer">
    <w:name w:val="DHHS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bullet2">
    <w:name w:val="DHHS bullet 2"/>
    <w:basedOn w:val="DHHSbody"/>
    <w:uiPriority w:val="2"/>
    <w:qFormat/>
    <w:rsid w:val="007F5858"/>
    <w:pPr>
      <w:numPr>
        <w:ilvl w:val="1"/>
        <w:numId w:val="2"/>
      </w:numPr>
      <w:spacing w:after="40"/>
    </w:pPr>
  </w:style>
  <w:style w:type="paragraph" w:customStyle="1" w:styleId="DHHSheader">
    <w:name w:val="DHHS header"/>
    <w:basedOn w:val="DHHS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DHHSnumberdigit">
    <w:name w:val="DHHS number digit"/>
    <w:basedOn w:val="DHHSbody"/>
    <w:uiPriority w:val="2"/>
    <w:rsid w:val="008669BE"/>
    <w:pPr>
      <w:numPr>
        <w:numId w:val="19"/>
      </w:numPr>
    </w:pPr>
  </w:style>
  <w:style w:type="paragraph" w:customStyle="1" w:styleId="DHHStablecolhead">
    <w:name w:val="DHHS table col head"/>
    <w:uiPriority w:val="3"/>
    <w:qFormat/>
    <w:rsid w:val="0082523D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876275"/>
    <w:pPr>
      <w:spacing w:before="240"/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4606F5"/>
    <w:pPr>
      <w:spacing w:before="0"/>
      <w:outlineLvl w:val="9"/>
    </w:pPr>
  </w:style>
  <w:style w:type="character" w:customStyle="1" w:styleId="DHHSTOCheadingreportChar">
    <w:name w:val="DHHS TOC heading report Char"/>
    <w:link w:val="DHHSTOCheadingreport"/>
    <w:uiPriority w:val="5"/>
    <w:rsid w:val="004606F5"/>
    <w:rPr>
      <w:rFonts w:ascii="Arial" w:hAnsi="Arial"/>
      <w:bCs/>
      <w:color w:val="D03061" w:themeColor="text2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CA6D4E"/>
    <w:pPr>
      <w:spacing w:after="0"/>
    </w:pPr>
  </w:style>
  <w:style w:type="paragraph" w:customStyle="1" w:styleId="DHHSquote">
    <w:name w:val="DHHS quote"/>
    <w:basedOn w:val="DHHS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7F5858"/>
    <w:pPr>
      <w:numPr>
        <w:numId w:val="2"/>
      </w:numPr>
    </w:pPr>
  </w:style>
  <w:style w:type="paragraph" w:customStyle="1" w:styleId="DHHSnumberlowerroman">
    <w:name w:val="DHHS number lower roman"/>
    <w:basedOn w:val="DHHSbody"/>
    <w:uiPriority w:val="3"/>
    <w:rsid w:val="008669BE"/>
    <w:pPr>
      <w:numPr>
        <w:numId w:val="33"/>
      </w:numPr>
    </w:pPr>
  </w:style>
  <w:style w:type="paragraph" w:customStyle="1" w:styleId="DHHSnumberlowerromanindent">
    <w:name w:val="DHHS number lower roman indent"/>
    <w:basedOn w:val="DHHSbody"/>
    <w:uiPriority w:val="3"/>
    <w:rsid w:val="008669BE"/>
    <w:pPr>
      <w:numPr>
        <w:ilvl w:val="1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669BE"/>
    <w:pPr>
      <w:numPr>
        <w:numId w:val="30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HHSbodyafterbullets">
    <w:name w:val="DHHS body after bullets"/>
    <w:basedOn w:val="DHHSbody"/>
    <w:uiPriority w:val="11"/>
    <w:rsid w:val="008669BE"/>
    <w:pPr>
      <w:spacing w:before="120"/>
    </w:pPr>
  </w:style>
  <w:style w:type="paragraph" w:customStyle="1" w:styleId="DHHSbulletafternumbers1">
    <w:name w:val="DHHS bullet after numbers 1"/>
    <w:basedOn w:val="DHHSbody"/>
    <w:uiPriority w:val="4"/>
    <w:rsid w:val="008669BE"/>
    <w:pPr>
      <w:numPr>
        <w:ilvl w:val="2"/>
        <w:numId w:val="30"/>
      </w:numPr>
    </w:pPr>
  </w:style>
  <w:style w:type="paragraph" w:customStyle="1" w:styleId="DHHSbulletafternumbers2">
    <w:name w:val="DHHS bullet after numbers 2"/>
    <w:basedOn w:val="DHHSbody"/>
    <w:rsid w:val="008669BE"/>
    <w:pPr>
      <w:numPr>
        <w:ilvl w:val="3"/>
        <w:numId w:val="30"/>
      </w:numPr>
    </w:pPr>
  </w:style>
  <w:style w:type="paragraph" w:customStyle="1" w:styleId="DHHSquotebullet1">
    <w:name w:val="DHHS quote bullet 1"/>
    <w:basedOn w:val="DHHSquote"/>
    <w:rsid w:val="008669BE"/>
    <w:pPr>
      <w:numPr>
        <w:numId w:val="32"/>
      </w:numPr>
    </w:pPr>
  </w:style>
  <w:style w:type="paragraph" w:customStyle="1" w:styleId="DHHSquotebullet2">
    <w:name w:val="DHHS quote bullet 2"/>
    <w:basedOn w:val="DHHSquote"/>
    <w:rsid w:val="008669BE"/>
    <w:pPr>
      <w:numPr>
        <w:ilvl w:val="1"/>
        <w:numId w:val="32"/>
      </w:numPr>
    </w:pPr>
  </w:style>
  <w:style w:type="paragraph" w:customStyle="1" w:styleId="DHHStablebullet1">
    <w:name w:val="DHHS table bullet 1"/>
    <w:basedOn w:val="DHHStabletext"/>
    <w:uiPriority w:val="3"/>
    <w:qFormat/>
    <w:rsid w:val="008669BE"/>
    <w:pPr>
      <w:numPr>
        <w:numId w:val="34"/>
      </w:numPr>
    </w:pPr>
  </w:style>
  <w:style w:type="paragraph" w:customStyle="1" w:styleId="DHHStablebullet2">
    <w:name w:val="DHHS table bullet 2"/>
    <w:basedOn w:val="DHHStabletext"/>
    <w:uiPriority w:val="11"/>
    <w:rsid w:val="008669BE"/>
    <w:pPr>
      <w:numPr>
        <w:ilvl w:val="1"/>
        <w:numId w:val="34"/>
      </w:numPr>
    </w:pPr>
  </w:style>
  <w:style w:type="numbering" w:customStyle="1" w:styleId="ZZNumbersdigit">
    <w:name w:val="ZZ Numbers digit"/>
    <w:rsid w:val="008669BE"/>
    <w:pPr>
      <w:numPr>
        <w:numId w:val="17"/>
      </w:numPr>
    </w:pPr>
  </w:style>
  <w:style w:type="numbering" w:customStyle="1" w:styleId="ZZNumbersloweralpha">
    <w:name w:val="ZZ Numbers lower alpha"/>
    <w:basedOn w:val="NoList"/>
    <w:rsid w:val="008669BE"/>
    <w:pPr>
      <w:numPr>
        <w:numId w:val="20"/>
      </w:numPr>
    </w:pPr>
  </w:style>
  <w:style w:type="numbering" w:customStyle="1" w:styleId="ZZQuotebullets">
    <w:name w:val="ZZ Quote bullets"/>
    <w:basedOn w:val="ZZNumbersdigit"/>
    <w:rsid w:val="008669BE"/>
    <w:pPr>
      <w:numPr>
        <w:numId w:val="25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23"/>
      </w:numPr>
    </w:pPr>
  </w:style>
  <w:style w:type="numbering" w:customStyle="1" w:styleId="ZZTablebullets">
    <w:name w:val="ZZ Table bullets"/>
    <w:basedOn w:val="NoList"/>
    <w:rsid w:val="008669BE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D9"/>
    <w:rPr>
      <w:rFonts w:ascii="Tahoma" w:hAnsi="Tahoma" w:cs="Tahoma"/>
      <w:sz w:val="16"/>
      <w:szCs w:val="16"/>
      <w:lang w:eastAsia="en-US"/>
    </w:rPr>
  </w:style>
  <w:style w:type="table" w:styleId="MediumGrid3-Accent4">
    <w:name w:val="Medium Grid 3 Accent 4"/>
    <w:basedOn w:val="TableNormal"/>
    <w:uiPriority w:val="60"/>
    <w:rsid w:val="002E70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A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A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A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A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4BE" w:themeFill="accent4" w:themeFillTint="7F"/>
      </w:tcPr>
    </w:tblStylePr>
  </w:style>
  <w:style w:type="paragraph" w:styleId="ListNumber">
    <w:name w:val="List Number"/>
    <w:basedOn w:val="Normal"/>
    <w:rsid w:val="004171B2"/>
    <w:pPr>
      <w:numPr>
        <w:numId w:val="39"/>
      </w:numPr>
      <w:spacing w:before="240"/>
    </w:pPr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7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771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771"/>
    <w:rPr>
      <w:rFonts w:ascii="Cambria" w:hAnsi="Cambria"/>
      <w:b/>
      <w:bCs/>
      <w:lang w:eastAsia="en-US"/>
    </w:rPr>
  </w:style>
  <w:style w:type="paragraph" w:customStyle="1" w:styleId="Default">
    <w:name w:val="Default"/>
    <w:rsid w:val="00A003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ColorfulGrid-Accent1">
    <w:name w:val="Colorful Grid Accent 1"/>
    <w:basedOn w:val="TableNormal"/>
    <w:uiPriority w:val="29"/>
    <w:qFormat/>
    <w:rsid w:val="00B475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F" w:themeFill="accent1" w:themeFillTint="33"/>
    </w:tcPr>
    <w:tblStylePr w:type="firstRow">
      <w:rPr>
        <w:b/>
        <w:bCs/>
      </w:rPr>
      <w:tblPr/>
      <w:tcPr>
        <w:shd w:val="clear" w:color="auto" w:fill="ECAC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C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C23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C2348" w:themeFill="accent1" w:themeFillShade="BF"/>
      </w:tcPr>
    </w:tblStylePr>
    <w:tblStylePr w:type="band1Vert">
      <w:tblPr/>
      <w:tcPr>
        <w:shd w:val="clear" w:color="auto" w:fill="E797B0" w:themeFill="accent1" w:themeFillTint="7F"/>
      </w:tcPr>
    </w:tblStylePr>
    <w:tblStylePr w:type="band1Horz">
      <w:tblPr/>
      <w:tcPr>
        <w:shd w:val="clear" w:color="auto" w:fill="E797B0" w:themeFill="accent1" w:themeFillTint="7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health.vic.gov.au/sustainabilit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alth.vic.gov.au/sustainabil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tainability@dhhs.vic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HHSBA health">
      <a:dk1>
        <a:sysClr val="windowText" lastClr="000000"/>
      </a:dk1>
      <a:lt1>
        <a:sysClr val="window" lastClr="FFFFFF"/>
      </a:lt1>
      <a:dk2>
        <a:srgbClr val="D03061"/>
      </a:dk2>
      <a:lt2>
        <a:srgbClr val="FFFFFF"/>
      </a:lt2>
      <a:accent1>
        <a:srgbClr val="D03061"/>
      </a:accent1>
      <a:accent2>
        <a:srgbClr val="5BCBF5"/>
      </a:accent2>
      <a:accent3>
        <a:srgbClr val="414042"/>
      </a:accent3>
      <a:accent4>
        <a:srgbClr val="EF4A7E"/>
      </a:accent4>
      <a:accent5>
        <a:srgbClr val="0074BC"/>
      </a:accent5>
      <a:accent6>
        <a:srgbClr val="F79646"/>
      </a:accent6>
      <a:hlink>
        <a:srgbClr val="0074BC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A135-9C1D-4549-98C3-15E40D28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2011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sustainability strategy: progress report, 28 February 2019</vt:lpstr>
    </vt:vector>
  </TitlesOfParts>
  <Company>Department of Health and Human Services</Company>
  <LinksUpToDate>false</LinksUpToDate>
  <CharactersWithSpaces>14045</CharactersWithSpaces>
  <SharedDoc>false</SharedDoc>
  <HyperlinkBase/>
  <HLinks>
    <vt:vector size="60" baseType="variant">
      <vt:variant>
        <vt:i4>7864376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_Toc442704398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sustainability strategy: progress report, 28 February 2019</dc:title>
  <dc:subject>Environmental sustainability strategy: progress report, 28 February 2019</dc:subject>
  <dc:creator>Victorian Health and Human Services Building Authority</dc:creator>
  <cp:keywords>Victorian Health and Human Services Building Authority, Environmental sustainability strategy</cp:keywords>
  <cp:lastModifiedBy>Sarah Hooton (DHHS)</cp:lastModifiedBy>
  <cp:revision>2</cp:revision>
  <cp:lastPrinted>2019-03-27T02:23:00Z</cp:lastPrinted>
  <dcterms:created xsi:type="dcterms:W3CDTF">2019-08-21T01:38:00Z</dcterms:created>
  <dcterms:modified xsi:type="dcterms:W3CDTF">2019-08-21T01:38:00Z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