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00C8"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2F660146" wp14:editId="2F660147">
            <wp:simplePos x="0" y="0"/>
            <wp:positionH relativeFrom="page">
              <wp:posOffset>635</wp:posOffset>
            </wp:positionH>
            <wp:positionV relativeFrom="page">
              <wp:posOffset>0</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600C9" w14:textId="77777777" w:rsidR="00A62D44" w:rsidRPr="004C6EEE" w:rsidRDefault="00A62D44" w:rsidP="004C6EEE">
      <w:pPr>
        <w:pStyle w:val="Sectionbreakfirstpage"/>
        <w:sectPr w:rsidR="00A62D44" w:rsidRPr="004C6EEE" w:rsidSect="0000682E">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1814" w:left="851" w:header="510" w:footer="510"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9464"/>
      </w:tblGrid>
      <w:tr w:rsidR="00AD784C" w14:paraId="2F6600CB" w14:textId="77777777" w:rsidTr="00B94362">
        <w:trPr>
          <w:trHeight w:val="1247"/>
        </w:trPr>
        <w:tc>
          <w:tcPr>
            <w:tcW w:w="9464" w:type="dxa"/>
            <w:shd w:val="clear" w:color="auto" w:fill="auto"/>
            <w:vAlign w:val="bottom"/>
          </w:tcPr>
          <w:p w14:paraId="2F6600CA" w14:textId="27EFC0C0" w:rsidR="00AD784C" w:rsidRPr="00EE74E5" w:rsidRDefault="00833AEC" w:rsidP="00B94362">
            <w:pPr>
              <w:pStyle w:val="DHHSmainheading"/>
            </w:pPr>
            <w:r>
              <w:t>Clinical and related waste guidelines</w:t>
            </w:r>
          </w:p>
        </w:tc>
      </w:tr>
      <w:tr w:rsidR="00AD784C" w14:paraId="2F6600CD" w14:textId="77777777" w:rsidTr="00B94362">
        <w:trPr>
          <w:trHeight w:hRule="exact" w:val="737"/>
        </w:trPr>
        <w:tc>
          <w:tcPr>
            <w:tcW w:w="9464" w:type="dxa"/>
            <w:shd w:val="clear" w:color="auto" w:fill="auto"/>
            <w:tcMar>
              <w:top w:w="85" w:type="dxa"/>
              <w:bottom w:w="510" w:type="dxa"/>
            </w:tcMar>
          </w:tcPr>
          <w:p w14:paraId="2F6600CC" w14:textId="2B914675" w:rsidR="00357B4E" w:rsidRPr="00EE74E5" w:rsidRDefault="00833AEC" w:rsidP="00B94362">
            <w:pPr>
              <w:pStyle w:val="DHHSmainsubheading"/>
            </w:pPr>
            <w:r>
              <w:t>Supplement for healthcare staff</w:t>
            </w:r>
          </w:p>
        </w:tc>
      </w:tr>
    </w:tbl>
    <w:p w14:paraId="2F6600CE" w14:textId="6C0E3726" w:rsidR="00AD784C" w:rsidRPr="00894542" w:rsidRDefault="00AD784C" w:rsidP="00B57329">
      <w:pPr>
        <w:pStyle w:val="DHHSTOCheadingfactsheet"/>
      </w:pPr>
      <w:r w:rsidRPr="00894542">
        <w:t>Contents</w:t>
      </w:r>
    </w:p>
    <w:p w14:paraId="6E897147" w14:textId="05500102" w:rsidR="004760F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2505160" w:history="1">
        <w:r w:rsidR="004760F8" w:rsidRPr="00A12679">
          <w:rPr>
            <w:rStyle w:val="Hyperlink"/>
          </w:rPr>
          <w:t>Foreword</w:t>
        </w:r>
        <w:r w:rsidR="004760F8">
          <w:rPr>
            <w:webHidden/>
          </w:rPr>
          <w:tab/>
        </w:r>
        <w:r w:rsidR="004760F8">
          <w:rPr>
            <w:webHidden/>
          </w:rPr>
          <w:fldChar w:fldCharType="begin"/>
        </w:r>
        <w:r w:rsidR="004760F8">
          <w:rPr>
            <w:webHidden/>
          </w:rPr>
          <w:instrText xml:space="preserve"> PAGEREF _Toc32505160 \h </w:instrText>
        </w:r>
        <w:r w:rsidR="004760F8">
          <w:rPr>
            <w:webHidden/>
          </w:rPr>
        </w:r>
        <w:r w:rsidR="004760F8">
          <w:rPr>
            <w:webHidden/>
          </w:rPr>
          <w:fldChar w:fldCharType="separate"/>
        </w:r>
        <w:r w:rsidR="004760F8">
          <w:rPr>
            <w:webHidden/>
          </w:rPr>
          <w:t>2</w:t>
        </w:r>
        <w:r w:rsidR="004760F8">
          <w:rPr>
            <w:webHidden/>
          </w:rPr>
          <w:fldChar w:fldCharType="end"/>
        </w:r>
      </w:hyperlink>
    </w:p>
    <w:p w14:paraId="29CBACA7" w14:textId="265BEBB6" w:rsidR="004760F8" w:rsidRDefault="004D01D1">
      <w:pPr>
        <w:pStyle w:val="TOC1"/>
        <w:rPr>
          <w:rFonts w:asciiTheme="minorHAnsi" w:eastAsiaTheme="minorEastAsia" w:hAnsiTheme="minorHAnsi" w:cstheme="minorBidi"/>
          <w:b w:val="0"/>
          <w:sz w:val="22"/>
          <w:szCs w:val="22"/>
          <w:lang w:eastAsia="en-AU"/>
        </w:rPr>
      </w:pPr>
      <w:hyperlink w:anchor="_Toc32505161" w:history="1">
        <w:r w:rsidR="004760F8" w:rsidRPr="00A12679">
          <w:rPr>
            <w:rStyle w:val="Hyperlink"/>
          </w:rPr>
          <w:t>Introduction</w:t>
        </w:r>
        <w:r w:rsidR="004760F8">
          <w:rPr>
            <w:webHidden/>
          </w:rPr>
          <w:tab/>
        </w:r>
        <w:r w:rsidR="004760F8">
          <w:rPr>
            <w:webHidden/>
          </w:rPr>
          <w:fldChar w:fldCharType="begin"/>
        </w:r>
        <w:r w:rsidR="004760F8">
          <w:rPr>
            <w:webHidden/>
          </w:rPr>
          <w:instrText xml:space="preserve"> PAGEREF _Toc32505161 \h </w:instrText>
        </w:r>
        <w:r w:rsidR="004760F8">
          <w:rPr>
            <w:webHidden/>
          </w:rPr>
        </w:r>
        <w:r w:rsidR="004760F8">
          <w:rPr>
            <w:webHidden/>
          </w:rPr>
          <w:fldChar w:fldCharType="separate"/>
        </w:r>
        <w:r w:rsidR="004760F8">
          <w:rPr>
            <w:webHidden/>
          </w:rPr>
          <w:t>3</w:t>
        </w:r>
        <w:r w:rsidR="004760F8">
          <w:rPr>
            <w:webHidden/>
          </w:rPr>
          <w:fldChar w:fldCharType="end"/>
        </w:r>
      </w:hyperlink>
    </w:p>
    <w:p w14:paraId="05AB3FE3" w14:textId="0D0A6ECD" w:rsidR="004760F8" w:rsidRDefault="004D01D1">
      <w:pPr>
        <w:pStyle w:val="TOC2"/>
        <w:rPr>
          <w:rFonts w:asciiTheme="minorHAnsi" w:eastAsiaTheme="minorEastAsia" w:hAnsiTheme="minorHAnsi" w:cstheme="minorBidi"/>
          <w:sz w:val="22"/>
          <w:szCs w:val="22"/>
          <w:lang w:eastAsia="en-AU"/>
        </w:rPr>
      </w:pPr>
      <w:hyperlink w:anchor="_Toc32505162" w:history="1">
        <w:r w:rsidR="004760F8" w:rsidRPr="00A12679">
          <w:rPr>
            <w:rStyle w:val="Hyperlink"/>
          </w:rPr>
          <w:t>Who should read this booklet?</w:t>
        </w:r>
        <w:r w:rsidR="004760F8">
          <w:rPr>
            <w:webHidden/>
          </w:rPr>
          <w:tab/>
        </w:r>
        <w:r w:rsidR="004760F8">
          <w:rPr>
            <w:webHidden/>
          </w:rPr>
          <w:fldChar w:fldCharType="begin"/>
        </w:r>
        <w:r w:rsidR="004760F8">
          <w:rPr>
            <w:webHidden/>
          </w:rPr>
          <w:instrText xml:space="preserve"> PAGEREF _Toc32505162 \h </w:instrText>
        </w:r>
        <w:r w:rsidR="004760F8">
          <w:rPr>
            <w:webHidden/>
          </w:rPr>
        </w:r>
        <w:r w:rsidR="004760F8">
          <w:rPr>
            <w:webHidden/>
          </w:rPr>
          <w:fldChar w:fldCharType="separate"/>
        </w:r>
        <w:r w:rsidR="004760F8">
          <w:rPr>
            <w:webHidden/>
          </w:rPr>
          <w:t>3</w:t>
        </w:r>
        <w:r w:rsidR="004760F8">
          <w:rPr>
            <w:webHidden/>
          </w:rPr>
          <w:fldChar w:fldCharType="end"/>
        </w:r>
      </w:hyperlink>
    </w:p>
    <w:p w14:paraId="15BEAA4E" w14:textId="5DE247F0" w:rsidR="004760F8" w:rsidRDefault="004D01D1">
      <w:pPr>
        <w:pStyle w:val="TOC2"/>
        <w:rPr>
          <w:rFonts w:asciiTheme="minorHAnsi" w:eastAsiaTheme="minorEastAsia" w:hAnsiTheme="minorHAnsi" w:cstheme="minorBidi"/>
          <w:sz w:val="22"/>
          <w:szCs w:val="22"/>
          <w:lang w:eastAsia="en-AU"/>
        </w:rPr>
      </w:pPr>
      <w:hyperlink w:anchor="_Toc32505163" w:history="1">
        <w:r w:rsidR="004760F8" w:rsidRPr="00A12679">
          <w:rPr>
            <w:rStyle w:val="Hyperlink"/>
          </w:rPr>
          <w:t>What is this booklet for?</w:t>
        </w:r>
        <w:r w:rsidR="004760F8">
          <w:rPr>
            <w:webHidden/>
          </w:rPr>
          <w:tab/>
        </w:r>
        <w:r w:rsidR="004760F8">
          <w:rPr>
            <w:webHidden/>
          </w:rPr>
          <w:fldChar w:fldCharType="begin"/>
        </w:r>
        <w:r w:rsidR="004760F8">
          <w:rPr>
            <w:webHidden/>
          </w:rPr>
          <w:instrText xml:space="preserve"> PAGEREF _Toc32505163 \h </w:instrText>
        </w:r>
        <w:r w:rsidR="004760F8">
          <w:rPr>
            <w:webHidden/>
          </w:rPr>
        </w:r>
        <w:r w:rsidR="004760F8">
          <w:rPr>
            <w:webHidden/>
          </w:rPr>
          <w:fldChar w:fldCharType="separate"/>
        </w:r>
        <w:r w:rsidR="004760F8">
          <w:rPr>
            <w:webHidden/>
          </w:rPr>
          <w:t>3</w:t>
        </w:r>
        <w:r w:rsidR="004760F8">
          <w:rPr>
            <w:webHidden/>
          </w:rPr>
          <w:fldChar w:fldCharType="end"/>
        </w:r>
      </w:hyperlink>
    </w:p>
    <w:p w14:paraId="4E9826B6" w14:textId="63249E5A" w:rsidR="004760F8" w:rsidRDefault="004D01D1">
      <w:pPr>
        <w:pStyle w:val="TOC2"/>
        <w:rPr>
          <w:rFonts w:asciiTheme="minorHAnsi" w:eastAsiaTheme="minorEastAsia" w:hAnsiTheme="minorHAnsi" w:cstheme="minorBidi"/>
          <w:sz w:val="22"/>
          <w:szCs w:val="22"/>
          <w:lang w:eastAsia="en-AU"/>
        </w:rPr>
      </w:pPr>
      <w:hyperlink w:anchor="_Toc32505164" w:history="1">
        <w:r w:rsidR="004760F8" w:rsidRPr="00A12679">
          <w:rPr>
            <w:rStyle w:val="Hyperlink"/>
          </w:rPr>
          <w:t>Why is clinical waste management important?</w:t>
        </w:r>
        <w:r w:rsidR="004760F8">
          <w:rPr>
            <w:webHidden/>
          </w:rPr>
          <w:tab/>
        </w:r>
        <w:r w:rsidR="004760F8">
          <w:rPr>
            <w:webHidden/>
          </w:rPr>
          <w:fldChar w:fldCharType="begin"/>
        </w:r>
        <w:r w:rsidR="004760F8">
          <w:rPr>
            <w:webHidden/>
          </w:rPr>
          <w:instrText xml:space="preserve"> PAGEREF _Toc32505164 \h </w:instrText>
        </w:r>
        <w:r w:rsidR="004760F8">
          <w:rPr>
            <w:webHidden/>
          </w:rPr>
        </w:r>
        <w:r w:rsidR="004760F8">
          <w:rPr>
            <w:webHidden/>
          </w:rPr>
          <w:fldChar w:fldCharType="separate"/>
        </w:r>
        <w:r w:rsidR="004760F8">
          <w:rPr>
            <w:webHidden/>
          </w:rPr>
          <w:t>3</w:t>
        </w:r>
        <w:r w:rsidR="004760F8">
          <w:rPr>
            <w:webHidden/>
          </w:rPr>
          <w:fldChar w:fldCharType="end"/>
        </w:r>
      </w:hyperlink>
    </w:p>
    <w:p w14:paraId="3E11ECAF" w14:textId="62A86282" w:rsidR="004760F8" w:rsidRDefault="004D01D1">
      <w:pPr>
        <w:pStyle w:val="TOC1"/>
        <w:rPr>
          <w:rFonts w:asciiTheme="minorHAnsi" w:eastAsiaTheme="minorEastAsia" w:hAnsiTheme="minorHAnsi" w:cstheme="minorBidi"/>
          <w:b w:val="0"/>
          <w:sz w:val="22"/>
          <w:szCs w:val="22"/>
          <w:lang w:eastAsia="en-AU"/>
        </w:rPr>
      </w:pPr>
      <w:hyperlink w:anchor="_Toc32505165" w:history="1">
        <w:r w:rsidR="004760F8" w:rsidRPr="00A12679">
          <w:rPr>
            <w:rStyle w:val="Hyperlink"/>
          </w:rPr>
          <w:t>Waste decision tree</w:t>
        </w:r>
        <w:r w:rsidR="004760F8">
          <w:rPr>
            <w:webHidden/>
          </w:rPr>
          <w:tab/>
        </w:r>
        <w:r w:rsidR="004760F8">
          <w:rPr>
            <w:webHidden/>
          </w:rPr>
          <w:fldChar w:fldCharType="begin"/>
        </w:r>
        <w:r w:rsidR="004760F8">
          <w:rPr>
            <w:webHidden/>
          </w:rPr>
          <w:instrText xml:space="preserve"> PAGEREF _Toc32505165 \h </w:instrText>
        </w:r>
        <w:r w:rsidR="004760F8">
          <w:rPr>
            <w:webHidden/>
          </w:rPr>
        </w:r>
        <w:r w:rsidR="004760F8">
          <w:rPr>
            <w:webHidden/>
          </w:rPr>
          <w:fldChar w:fldCharType="separate"/>
        </w:r>
        <w:r w:rsidR="004760F8">
          <w:rPr>
            <w:webHidden/>
          </w:rPr>
          <w:t>4</w:t>
        </w:r>
        <w:r w:rsidR="004760F8">
          <w:rPr>
            <w:webHidden/>
          </w:rPr>
          <w:fldChar w:fldCharType="end"/>
        </w:r>
      </w:hyperlink>
    </w:p>
    <w:p w14:paraId="50B1C3E0" w14:textId="51011333" w:rsidR="004760F8" w:rsidRDefault="004D01D1">
      <w:pPr>
        <w:pStyle w:val="TOC2"/>
        <w:rPr>
          <w:rFonts w:asciiTheme="minorHAnsi" w:eastAsiaTheme="minorEastAsia" w:hAnsiTheme="minorHAnsi" w:cstheme="minorBidi"/>
          <w:sz w:val="22"/>
          <w:szCs w:val="22"/>
          <w:lang w:eastAsia="en-AU"/>
        </w:rPr>
      </w:pPr>
      <w:hyperlink w:anchor="_Toc32505166" w:history="1">
        <w:r w:rsidR="004760F8" w:rsidRPr="00A12679">
          <w:rPr>
            <w:rStyle w:val="Hyperlink"/>
          </w:rPr>
          <w:t>Body fluids (including bulk body fluids)</w:t>
        </w:r>
        <w:r w:rsidR="004760F8">
          <w:rPr>
            <w:webHidden/>
          </w:rPr>
          <w:tab/>
        </w:r>
        <w:r w:rsidR="004760F8">
          <w:rPr>
            <w:webHidden/>
          </w:rPr>
          <w:fldChar w:fldCharType="begin"/>
        </w:r>
        <w:r w:rsidR="004760F8">
          <w:rPr>
            <w:webHidden/>
          </w:rPr>
          <w:instrText xml:space="preserve"> PAGEREF _Toc32505166 \h </w:instrText>
        </w:r>
        <w:r w:rsidR="004760F8">
          <w:rPr>
            <w:webHidden/>
          </w:rPr>
        </w:r>
        <w:r w:rsidR="004760F8">
          <w:rPr>
            <w:webHidden/>
          </w:rPr>
          <w:fldChar w:fldCharType="separate"/>
        </w:r>
        <w:r w:rsidR="004760F8">
          <w:rPr>
            <w:webHidden/>
          </w:rPr>
          <w:t>4</w:t>
        </w:r>
        <w:r w:rsidR="004760F8">
          <w:rPr>
            <w:webHidden/>
          </w:rPr>
          <w:fldChar w:fldCharType="end"/>
        </w:r>
      </w:hyperlink>
    </w:p>
    <w:p w14:paraId="4EB43B18" w14:textId="258EFAB3" w:rsidR="004760F8" w:rsidRDefault="004D01D1">
      <w:pPr>
        <w:pStyle w:val="TOC2"/>
        <w:rPr>
          <w:rFonts w:asciiTheme="minorHAnsi" w:eastAsiaTheme="minorEastAsia" w:hAnsiTheme="minorHAnsi" w:cstheme="minorBidi"/>
          <w:sz w:val="22"/>
          <w:szCs w:val="22"/>
          <w:lang w:eastAsia="en-AU"/>
        </w:rPr>
      </w:pPr>
      <w:hyperlink w:anchor="_Toc32505167" w:history="1">
        <w:r w:rsidR="004760F8" w:rsidRPr="00A12679">
          <w:rPr>
            <w:rStyle w:val="Hyperlink"/>
          </w:rPr>
          <w:t>CAPS-BBI check</w:t>
        </w:r>
        <w:r w:rsidR="004760F8">
          <w:rPr>
            <w:webHidden/>
          </w:rPr>
          <w:tab/>
        </w:r>
        <w:r w:rsidR="004760F8">
          <w:rPr>
            <w:webHidden/>
          </w:rPr>
          <w:fldChar w:fldCharType="begin"/>
        </w:r>
        <w:r w:rsidR="004760F8">
          <w:rPr>
            <w:webHidden/>
          </w:rPr>
          <w:instrText xml:space="preserve"> PAGEREF _Toc32505167 \h </w:instrText>
        </w:r>
        <w:r w:rsidR="004760F8">
          <w:rPr>
            <w:webHidden/>
          </w:rPr>
        </w:r>
        <w:r w:rsidR="004760F8">
          <w:rPr>
            <w:webHidden/>
          </w:rPr>
          <w:fldChar w:fldCharType="separate"/>
        </w:r>
        <w:r w:rsidR="004760F8">
          <w:rPr>
            <w:webHidden/>
          </w:rPr>
          <w:t>4</w:t>
        </w:r>
        <w:r w:rsidR="004760F8">
          <w:rPr>
            <w:webHidden/>
          </w:rPr>
          <w:fldChar w:fldCharType="end"/>
        </w:r>
      </w:hyperlink>
    </w:p>
    <w:p w14:paraId="734BF5EF" w14:textId="4D0E9420" w:rsidR="004760F8" w:rsidRDefault="004D01D1">
      <w:pPr>
        <w:pStyle w:val="TOC1"/>
        <w:rPr>
          <w:rFonts w:asciiTheme="minorHAnsi" w:eastAsiaTheme="minorEastAsia" w:hAnsiTheme="minorHAnsi" w:cstheme="minorBidi"/>
          <w:b w:val="0"/>
          <w:sz w:val="22"/>
          <w:szCs w:val="22"/>
          <w:lang w:eastAsia="en-AU"/>
        </w:rPr>
      </w:pPr>
      <w:hyperlink w:anchor="_Toc32505168" w:history="1">
        <w:r w:rsidR="004760F8" w:rsidRPr="00A12679">
          <w:rPr>
            <w:rStyle w:val="Hyperlink"/>
          </w:rPr>
          <w:t>Clinical waste streams</w:t>
        </w:r>
        <w:r w:rsidR="004760F8">
          <w:rPr>
            <w:webHidden/>
          </w:rPr>
          <w:tab/>
        </w:r>
        <w:r w:rsidR="004760F8">
          <w:rPr>
            <w:webHidden/>
          </w:rPr>
          <w:fldChar w:fldCharType="begin"/>
        </w:r>
        <w:r w:rsidR="004760F8">
          <w:rPr>
            <w:webHidden/>
          </w:rPr>
          <w:instrText xml:space="preserve"> PAGEREF _Toc32505168 \h </w:instrText>
        </w:r>
        <w:r w:rsidR="004760F8">
          <w:rPr>
            <w:webHidden/>
          </w:rPr>
        </w:r>
        <w:r w:rsidR="004760F8">
          <w:rPr>
            <w:webHidden/>
          </w:rPr>
          <w:fldChar w:fldCharType="separate"/>
        </w:r>
        <w:r w:rsidR="004760F8">
          <w:rPr>
            <w:webHidden/>
          </w:rPr>
          <w:t>5</w:t>
        </w:r>
        <w:r w:rsidR="004760F8">
          <w:rPr>
            <w:webHidden/>
          </w:rPr>
          <w:fldChar w:fldCharType="end"/>
        </w:r>
      </w:hyperlink>
    </w:p>
    <w:p w14:paraId="4426D972" w14:textId="6ECBB7C6" w:rsidR="004760F8" w:rsidRDefault="004D01D1">
      <w:pPr>
        <w:pStyle w:val="TOC2"/>
        <w:rPr>
          <w:rFonts w:asciiTheme="minorHAnsi" w:eastAsiaTheme="minorEastAsia" w:hAnsiTheme="minorHAnsi" w:cstheme="minorBidi"/>
          <w:sz w:val="22"/>
          <w:szCs w:val="22"/>
          <w:lang w:eastAsia="en-AU"/>
        </w:rPr>
      </w:pPr>
      <w:hyperlink w:anchor="_Toc32505169" w:history="1">
        <w:r w:rsidR="004760F8" w:rsidRPr="00A12679">
          <w:rPr>
            <w:rStyle w:val="Hyperlink"/>
          </w:rPr>
          <w:t>Treatment: incineration</w:t>
        </w:r>
        <w:r w:rsidR="004760F8">
          <w:rPr>
            <w:webHidden/>
          </w:rPr>
          <w:tab/>
        </w:r>
        <w:r w:rsidR="004760F8">
          <w:rPr>
            <w:webHidden/>
          </w:rPr>
          <w:fldChar w:fldCharType="begin"/>
        </w:r>
        <w:r w:rsidR="004760F8">
          <w:rPr>
            <w:webHidden/>
          </w:rPr>
          <w:instrText xml:space="preserve"> PAGEREF _Toc32505169 \h </w:instrText>
        </w:r>
        <w:r w:rsidR="004760F8">
          <w:rPr>
            <w:webHidden/>
          </w:rPr>
        </w:r>
        <w:r w:rsidR="004760F8">
          <w:rPr>
            <w:webHidden/>
          </w:rPr>
          <w:fldChar w:fldCharType="separate"/>
        </w:r>
        <w:r w:rsidR="004760F8">
          <w:rPr>
            <w:webHidden/>
          </w:rPr>
          <w:t>5</w:t>
        </w:r>
        <w:r w:rsidR="004760F8">
          <w:rPr>
            <w:webHidden/>
          </w:rPr>
          <w:fldChar w:fldCharType="end"/>
        </w:r>
      </w:hyperlink>
    </w:p>
    <w:p w14:paraId="2170BB90" w14:textId="762B9D73" w:rsidR="004760F8" w:rsidRDefault="004D01D1">
      <w:pPr>
        <w:pStyle w:val="TOC2"/>
        <w:rPr>
          <w:rFonts w:asciiTheme="minorHAnsi" w:eastAsiaTheme="minorEastAsia" w:hAnsiTheme="minorHAnsi" w:cstheme="minorBidi"/>
          <w:sz w:val="22"/>
          <w:szCs w:val="22"/>
          <w:lang w:eastAsia="en-AU"/>
        </w:rPr>
      </w:pPr>
      <w:hyperlink w:anchor="_Toc32505170" w:history="1">
        <w:r w:rsidR="004760F8" w:rsidRPr="00A12679">
          <w:rPr>
            <w:rStyle w:val="Hyperlink"/>
          </w:rPr>
          <w:t>Treatment: sterilisation</w:t>
        </w:r>
        <w:r w:rsidR="004760F8">
          <w:rPr>
            <w:webHidden/>
          </w:rPr>
          <w:tab/>
        </w:r>
        <w:r w:rsidR="004760F8">
          <w:rPr>
            <w:webHidden/>
          </w:rPr>
          <w:fldChar w:fldCharType="begin"/>
        </w:r>
        <w:r w:rsidR="004760F8">
          <w:rPr>
            <w:webHidden/>
          </w:rPr>
          <w:instrText xml:space="preserve"> PAGEREF _Toc32505170 \h </w:instrText>
        </w:r>
        <w:r w:rsidR="004760F8">
          <w:rPr>
            <w:webHidden/>
          </w:rPr>
        </w:r>
        <w:r w:rsidR="004760F8">
          <w:rPr>
            <w:webHidden/>
          </w:rPr>
          <w:fldChar w:fldCharType="separate"/>
        </w:r>
        <w:r w:rsidR="004760F8">
          <w:rPr>
            <w:webHidden/>
          </w:rPr>
          <w:t>6</w:t>
        </w:r>
        <w:r w:rsidR="004760F8">
          <w:rPr>
            <w:webHidden/>
          </w:rPr>
          <w:fldChar w:fldCharType="end"/>
        </w:r>
      </w:hyperlink>
    </w:p>
    <w:p w14:paraId="7CD85249" w14:textId="26920BE1" w:rsidR="004760F8" w:rsidRDefault="004D01D1">
      <w:pPr>
        <w:pStyle w:val="TOC1"/>
        <w:rPr>
          <w:rFonts w:asciiTheme="minorHAnsi" w:eastAsiaTheme="minorEastAsia" w:hAnsiTheme="minorHAnsi" w:cstheme="minorBidi"/>
          <w:b w:val="0"/>
          <w:sz w:val="22"/>
          <w:szCs w:val="22"/>
          <w:lang w:eastAsia="en-AU"/>
        </w:rPr>
      </w:pPr>
      <w:hyperlink w:anchor="_Toc32505171" w:history="1">
        <w:r w:rsidR="004760F8" w:rsidRPr="00A12679">
          <w:rPr>
            <w:rStyle w:val="Hyperlink"/>
          </w:rPr>
          <w:t>Pharmaceutical container</w:t>
        </w:r>
        <w:r w:rsidR="004760F8">
          <w:rPr>
            <w:webHidden/>
          </w:rPr>
          <w:tab/>
        </w:r>
        <w:r w:rsidR="004760F8">
          <w:rPr>
            <w:webHidden/>
          </w:rPr>
          <w:fldChar w:fldCharType="begin"/>
        </w:r>
        <w:r w:rsidR="004760F8">
          <w:rPr>
            <w:webHidden/>
          </w:rPr>
          <w:instrText xml:space="preserve"> PAGEREF _Toc32505171 \h </w:instrText>
        </w:r>
        <w:r w:rsidR="004760F8">
          <w:rPr>
            <w:webHidden/>
          </w:rPr>
        </w:r>
        <w:r w:rsidR="004760F8">
          <w:rPr>
            <w:webHidden/>
          </w:rPr>
          <w:fldChar w:fldCharType="separate"/>
        </w:r>
        <w:r w:rsidR="004760F8">
          <w:rPr>
            <w:webHidden/>
          </w:rPr>
          <w:t>7</w:t>
        </w:r>
        <w:r w:rsidR="004760F8">
          <w:rPr>
            <w:webHidden/>
          </w:rPr>
          <w:fldChar w:fldCharType="end"/>
        </w:r>
      </w:hyperlink>
    </w:p>
    <w:p w14:paraId="11D9A598" w14:textId="3509538B" w:rsidR="004760F8" w:rsidRDefault="004D01D1">
      <w:pPr>
        <w:pStyle w:val="TOC1"/>
        <w:rPr>
          <w:rFonts w:asciiTheme="minorHAnsi" w:eastAsiaTheme="minorEastAsia" w:hAnsiTheme="minorHAnsi" w:cstheme="minorBidi"/>
          <w:b w:val="0"/>
          <w:sz w:val="22"/>
          <w:szCs w:val="22"/>
          <w:lang w:eastAsia="en-AU"/>
        </w:rPr>
      </w:pPr>
      <w:hyperlink w:anchor="_Toc32505172" w:history="1">
        <w:r w:rsidR="004760F8" w:rsidRPr="00A12679">
          <w:rPr>
            <w:rStyle w:val="Hyperlink"/>
          </w:rPr>
          <w:t>Pharmaceutical substance</w:t>
        </w:r>
        <w:r w:rsidR="004760F8">
          <w:rPr>
            <w:webHidden/>
          </w:rPr>
          <w:tab/>
        </w:r>
        <w:r w:rsidR="004760F8">
          <w:rPr>
            <w:webHidden/>
          </w:rPr>
          <w:fldChar w:fldCharType="begin"/>
        </w:r>
        <w:r w:rsidR="004760F8">
          <w:rPr>
            <w:webHidden/>
          </w:rPr>
          <w:instrText xml:space="preserve"> PAGEREF _Toc32505172 \h </w:instrText>
        </w:r>
        <w:r w:rsidR="004760F8">
          <w:rPr>
            <w:webHidden/>
          </w:rPr>
        </w:r>
        <w:r w:rsidR="004760F8">
          <w:rPr>
            <w:webHidden/>
          </w:rPr>
          <w:fldChar w:fldCharType="separate"/>
        </w:r>
        <w:r w:rsidR="004760F8">
          <w:rPr>
            <w:webHidden/>
          </w:rPr>
          <w:t>8</w:t>
        </w:r>
        <w:r w:rsidR="004760F8">
          <w:rPr>
            <w:webHidden/>
          </w:rPr>
          <w:fldChar w:fldCharType="end"/>
        </w:r>
      </w:hyperlink>
    </w:p>
    <w:p w14:paraId="65B2816C" w14:textId="0FB774E2" w:rsidR="004760F8" w:rsidRDefault="004D01D1">
      <w:pPr>
        <w:pStyle w:val="TOC2"/>
        <w:rPr>
          <w:rFonts w:asciiTheme="minorHAnsi" w:eastAsiaTheme="minorEastAsia" w:hAnsiTheme="minorHAnsi" w:cstheme="minorBidi"/>
          <w:sz w:val="22"/>
          <w:szCs w:val="22"/>
          <w:lang w:eastAsia="en-AU"/>
        </w:rPr>
      </w:pPr>
      <w:hyperlink w:anchor="_Toc32505173" w:history="1">
        <w:r w:rsidR="004760F8" w:rsidRPr="00A12679">
          <w:rPr>
            <w:rStyle w:val="Hyperlink"/>
          </w:rPr>
          <w:t>Case studies</w:t>
        </w:r>
        <w:r w:rsidR="004760F8">
          <w:rPr>
            <w:webHidden/>
          </w:rPr>
          <w:tab/>
        </w:r>
        <w:r w:rsidR="004760F8">
          <w:rPr>
            <w:webHidden/>
          </w:rPr>
          <w:fldChar w:fldCharType="begin"/>
        </w:r>
        <w:r w:rsidR="004760F8">
          <w:rPr>
            <w:webHidden/>
          </w:rPr>
          <w:instrText xml:space="preserve"> PAGEREF _Toc32505173 \h </w:instrText>
        </w:r>
        <w:r w:rsidR="004760F8">
          <w:rPr>
            <w:webHidden/>
          </w:rPr>
        </w:r>
        <w:r w:rsidR="004760F8">
          <w:rPr>
            <w:webHidden/>
          </w:rPr>
          <w:fldChar w:fldCharType="separate"/>
        </w:r>
        <w:r w:rsidR="004760F8">
          <w:rPr>
            <w:webHidden/>
          </w:rPr>
          <w:t>8</w:t>
        </w:r>
        <w:r w:rsidR="004760F8">
          <w:rPr>
            <w:webHidden/>
          </w:rPr>
          <w:fldChar w:fldCharType="end"/>
        </w:r>
      </w:hyperlink>
    </w:p>
    <w:p w14:paraId="0C1BF7D6" w14:textId="68561EE2" w:rsidR="004760F8" w:rsidRDefault="004D01D1">
      <w:pPr>
        <w:pStyle w:val="TOC1"/>
        <w:rPr>
          <w:rFonts w:asciiTheme="minorHAnsi" w:eastAsiaTheme="minorEastAsia" w:hAnsiTheme="minorHAnsi" w:cstheme="minorBidi"/>
          <w:b w:val="0"/>
          <w:sz w:val="22"/>
          <w:szCs w:val="22"/>
          <w:lang w:eastAsia="en-AU"/>
        </w:rPr>
      </w:pPr>
      <w:hyperlink w:anchor="_Toc32505174" w:history="1">
        <w:r w:rsidR="004760F8" w:rsidRPr="00A12679">
          <w:rPr>
            <w:rStyle w:val="Hyperlink"/>
          </w:rPr>
          <w:t>Sharps</w:t>
        </w:r>
        <w:r w:rsidR="004760F8">
          <w:rPr>
            <w:webHidden/>
          </w:rPr>
          <w:tab/>
        </w:r>
        <w:r w:rsidR="004760F8">
          <w:rPr>
            <w:webHidden/>
          </w:rPr>
          <w:fldChar w:fldCharType="begin"/>
        </w:r>
        <w:r w:rsidR="004760F8">
          <w:rPr>
            <w:webHidden/>
          </w:rPr>
          <w:instrText xml:space="preserve"> PAGEREF _Toc32505174 \h </w:instrText>
        </w:r>
        <w:r w:rsidR="004760F8">
          <w:rPr>
            <w:webHidden/>
          </w:rPr>
        </w:r>
        <w:r w:rsidR="004760F8">
          <w:rPr>
            <w:webHidden/>
          </w:rPr>
          <w:fldChar w:fldCharType="separate"/>
        </w:r>
        <w:r w:rsidR="004760F8">
          <w:rPr>
            <w:webHidden/>
          </w:rPr>
          <w:t>9</w:t>
        </w:r>
        <w:r w:rsidR="004760F8">
          <w:rPr>
            <w:webHidden/>
          </w:rPr>
          <w:fldChar w:fldCharType="end"/>
        </w:r>
      </w:hyperlink>
    </w:p>
    <w:p w14:paraId="27FF79ED" w14:textId="3D0F6274" w:rsidR="004760F8" w:rsidRDefault="004D01D1">
      <w:pPr>
        <w:pStyle w:val="TOC2"/>
        <w:rPr>
          <w:rFonts w:asciiTheme="minorHAnsi" w:eastAsiaTheme="minorEastAsia" w:hAnsiTheme="minorHAnsi" w:cstheme="minorBidi"/>
          <w:sz w:val="22"/>
          <w:szCs w:val="22"/>
          <w:lang w:eastAsia="en-AU"/>
        </w:rPr>
      </w:pPr>
      <w:hyperlink w:anchor="_Toc32505175" w:history="1">
        <w:r w:rsidR="004760F8" w:rsidRPr="00A12679">
          <w:rPr>
            <w:rStyle w:val="Hyperlink"/>
          </w:rPr>
          <w:t>Case studies</w:t>
        </w:r>
        <w:r w:rsidR="004760F8">
          <w:rPr>
            <w:webHidden/>
          </w:rPr>
          <w:tab/>
        </w:r>
        <w:r w:rsidR="004760F8">
          <w:rPr>
            <w:webHidden/>
          </w:rPr>
          <w:fldChar w:fldCharType="begin"/>
        </w:r>
        <w:r w:rsidR="004760F8">
          <w:rPr>
            <w:webHidden/>
          </w:rPr>
          <w:instrText xml:space="preserve"> PAGEREF _Toc32505175 \h </w:instrText>
        </w:r>
        <w:r w:rsidR="004760F8">
          <w:rPr>
            <w:webHidden/>
          </w:rPr>
        </w:r>
        <w:r w:rsidR="004760F8">
          <w:rPr>
            <w:webHidden/>
          </w:rPr>
          <w:fldChar w:fldCharType="separate"/>
        </w:r>
        <w:r w:rsidR="004760F8">
          <w:rPr>
            <w:webHidden/>
          </w:rPr>
          <w:t>9</w:t>
        </w:r>
        <w:r w:rsidR="004760F8">
          <w:rPr>
            <w:webHidden/>
          </w:rPr>
          <w:fldChar w:fldCharType="end"/>
        </w:r>
      </w:hyperlink>
    </w:p>
    <w:p w14:paraId="0EF540E2" w14:textId="6A0A422B" w:rsidR="004760F8" w:rsidRDefault="004D01D1">
      <w:pPr>
        <w:pStyle w:val="TOC1"/>
        <w:rPr>
          <w:rFonts w:asciiTheme="minorHAnsi" w:eastAsiaTheme="minorEastAsia" w:hAnsiTheme="minorHAnsi" w:cstheme="minorBidi"/>
          <w:b w:val="0"/>
          <w:sz w:val="22"/>
          <w:szCs w:val="22"/>
          <w:lang w:eastAsia="en-AU"/>
        </w:rPr>
      </w:pPr>
      <w:hyperlink w:anchor="_Toc32505176" w:history="1">
        <w:r w:rsidR="004760F8" w:rsidRPr="00A12679">
          <w:rPr>
            <w:rStyle w:val="Hyperlink"/>
          </w:rPr>
          <w:t>Blood and blood products</w:t>
        </w:r>
        <w:r w:rsidR="004760F8">
          <w:rPr>
            <w:webHidden/>
          </w:rPr>
          <w:tab/>
        </w:r>
        <w:r w:rsidR="004760F8">
          <w:rPr>
            <w:webHidden/>
          </w:rPr>
          <w:fldChar w:fldCharType="begin"/>
        </w:r>
        <w:r w:rsidR="004760F8">
          <w:rPr>
            <w:webHidden/>
          </w:rPr>
          <w:instrText xml:space="preserve"> PAGEREF _Toc32505176 \h </w:instrText>
        </w:r>
        <w:r w:rsidR="004760F8">
          <w:rPr>
            <w:webHidden/>
          </w:rPr>
        </w:r>
        <w:r w:rsidR="004760F8">
          <w:rPr>
            <w:webHidden/>
          </w:rPr>
          <w:fldChar w:fldCharType="separate"/>
        </w:r>
        <w:r w:rsidR="004760F8">
          <w:rPr>
            <w:webHidden/>
          </w:rPr>
          <w:t>10</w:t>
        </w:r>
        <w:r w:rsidR="004760F8">
          <w:rPr>
            <w:webHidden/>
          </w:rPr>
          <w:fldChar w:fldCharType="end"/>
        </w:r>
      </w:hyperlink>
    </w:p>
    <w:p w14:paraId="71C6D206" w14:textId="62CFD087" w:rsidR="004760F8" w:rsidRDefault="004D01D1">
      <w:pPr>
        <w:pStyle w:val="TOC2"/>
        <w:rPr>
          <w:rFonts w:asciiTheme="minorHAnsi" w:eastAsiaTheme="minorEastAsia" w:hAnsiTheme="minorHAnsi" w:cstheme="minorBidi"/>
          <w:sz w:val="22"/>
          <w:szCs w:val="22"/>
          <w:lang w:eastAsia="en-AU"/>
        </w:rPr>
      </w:pPr>
      <w:hyperlink w:anchor="_Toc32505177" w:history="1">
        <w:r w:rsidR="004760F8" w:rsidRPr="00A12679">
          <w:rPr>
            <w:rStyle w:val="Hyperlink"/>
          </w:rPr>
          <w:t>Case studies</w:t>
        </w:r>
        <w:r w:rsidR="004760F8">
          <w:rPr>
            <w:webHidden/>
          </w:rPr>
          <w:tab/>
        </w:r>
        <w:r w:rsidR="004760F8">
          <w:rPr>
            <w:webHidden/>
          </w:rPr>
          <w:fldChar w:fldCharType="begin"/>
        </w:r>
        <w:r w:rsidR="004760F8">
          <w:rPr>
            <w:webHidden/>
          </w:rPr>
          <w:instrText xml:space="preserve"> PAGEREF _Toc32505177 \h </w:instrText>
        </w:r>
        <w:r w:rsidR="004760F8">
          <w:rPr>
            <w:webHidden/>
          </w:rPr>
        </w:r>
        <w:r w:rsidR="004760F8">
          <w:rPr>
            <w:webHidden/>
          </w:rPr>
          <w:fldChar w:fldCharType="separate"/>
        </w:r>
        <w:r w:rsidR="004760F8">
          <w:rPr>
            <w:webHidden/>
          </w:rPr>
          <w:t>10</w:t>
        </w:r>
        <w:r w:rsidR="004760F8">
          <w:rPr>
            <w:webHidden/>
          </w:rPr>
          <w:fldChar w:fldCharType="end"/>
        </w:r>
      </w:hyperlink>
    </w:p>
    <w:p w14:paraId="73742BA9" w14:textId="3A825019" w:rsidR="004760F8" w:rsidRDefault="004D01D1">
      <w:pPr>
        <w:pStyle w:val="TOC1"/>
        <w:rPr>
          <w:rFonts w:asciiTheme="minorHAnsi" w:eastAsiaTheme="minorEastAsia" w:hAnsiTheme="minorHAnsi" w:cstheme="minorBidi"/>
          <w:b w:val="0"/>
          <w:sz w:val="22"/>
          <w:szCs w:val="22"/>
          <w:lang w:eastAsia="en-AU"/>
        </w:rPr>
      </w:pPr>
      <w:hyperlink w:anchor="_Toc32505178" w:history="1">
        <w:r w:rsidR="004760F8" w:rsidRPr="00A12679">
          <w:rPr>
            <w:rStyle w:val="Hyperlink"/>
          </w:rPr>
          <w:t xml:space="preserve">Body fluids </w:t>
        </w:r>
        <w:r w:rsidR="004760F8" w:rsidRPr="00A12679">
          <w:rPr>
            <w:rStyle w:val="Hyperlink"/>
            <w:spacing w:val="-4"/>
          </w:rPr>
          <w:t xml:space="preserve">and </w:t>
        </w:r>
        <w:r w:rsidR="004760F8" w:rsidRPr="00A12679">
          <w:rPr>
            <w:rStyle w:val="Hyperlink"/>
          </w:rPr>
          <w:t xml:space="preserve">bulk body </w:t>
        </w:r>
        <w:r w:rsidR="004760F8" w:rsidRPr="00A12679">
          <w:rPr>
            <w:rStyle w:val="Hyperlink"/>
            <w:spacing w:val="-6"/>
          </w:rPr>
          <w:t>fluids</w:t>
        </w:r>
        <w:r w:rsidR="004760F8">
          <w:rPr>
            <w:webHidden/>
          </w:rPr>
          <w:tab/>
        </w:r>
        <w:r w:rsidR="004760F8">
          <w:rPr>
            <w:webHidden/>
          </w:rPr>
          <w:fldChar w:fldCharType="begin"/>
        </w:r>
        <w:r w:rsidR="004760F8">
          <w:rPr>
            <w:webHidden/>
          </w:rPr>
          <w:instrText xml:space="preserve"> PAGEREF _Toc32505178 \h </w:instrText>
        </w:r>
        <w:r w:rsidR="004760F8">
          <w:rPr>
            <w:webHidden/>
          </w:rPr>
        </w:r>
        <w:r w:rsidR="004760F8">
          <w:rPr>
            <w:webHidden/>
          </w:rPr>
          <w:fldChar w:fldCharType="separate"/>
        </w:r>
        <w:r w:rsidR="004760F8">
          <w:rPr>
            <w:webHidden/>
          </w:rPr>
          <w:t>11</w:t>
        </w:r>
        <w:r w:rsidR="004760F8">
          <w:rPr>
            <w:webHidden/>
          </w:rPr>
          <w:fldChar w:fldCharType="end"/>
        </w:r>
      </w:hyperlink>
    </w:p>
    <w:p w14:paraId="4ABBD96C" w14:textId="46A81670" w:rsidR="004760F8" w:rsidRDefault="004D01D1">
      <w:pPr>
        <w:pStyle w:val="TOC2"/>
        <w:rPr>
          <w:rFonts w:asciiTheme="minorHAnsi" w:eastAsiaTheme="minorEastAsia" w:hAnsiTheme="minorHAnsi" w:cstheme="minorBidi"/>
          <w:sz w:val="22"/>
          <w:szCs w:val="22"/>
          <w:lang w:eastAsia="en-AU"/>
        </w:rPr>
      </w:pPr>
      <w:hyperlink w:anchor="_Toc32505179" w:history="1">
        <w:r w:rsidR="004760F8" w:rsidRPr="00A12679">
          <w:rPr>
            <w:rStyle w:val="Hyperlink"/>
          </w:rPr>
          <w:t>Items from a patient with a communicable disease (known or suspected)</w:t>
        </w:r>
        <w:r w:rsidR="004760F8">
          <w:rPr>
            <w:webHidden/>
          </w:rPr>
          <w:tab/>
        </w:r>
        <w:r w:rsidR="004760F8">
          <w:rPr>
            <w:webHidden/>
          </w:rPr>
          <w:fldChar w:fldCharType="begin"/>
        </w:r>
        <w:r w:rsidR="004760F8">
          <w:rPr>
            <w:webHidden/>
          </w:rPr>
          <w:instrText xml:space="preserve"> PAGEREF _Toc32505179 \h </w:instrText>
        </w:r>
        <w:r w:rsidR="004760F8">
          <w:rPr>
            <w:webHidden/>
          </w:rPr>
        </w:r>
        <w:r w:rsidR="004760F8">
          <w:rPr>
            <w:webHidden/>
          </w:rPr>
          <w:fldChar w:fldCharType="separate"/>
        </w:r>
        <w:r w:rsidR="004760F8">
          <w:rPr>
            <w:webHidden/>
          </w:rPr>
          <w:t>11</w:t>
        </w:r>
        <w:r w:rsidR="004760F8">
          <w:rPr>
            <w:webHidden/>
          </w:rPr>
          <w:fldChar w:fldCharType="end"/>
        </w:r>
      </w:hyperlink>
    </w:p>
    <w:p w14:paraId="2390D4C9" w14:textId="42BF896C" w:rsidR="004760F8" w:rsidRDefault="004D01D1">
      <w:pPr>
        <w:pStyle w:val="TOC1"/>
        <w:rPr>
          <w:rFonts w:asciiTheme="minorHAnsi" w:eastAsiaTheme="minorEastAsia" w:hAnsiTheme="minorHAnsi" w:cstheme="minorBidi"/>
          <w:b w:val="0"/>
          <w:sz w:val="22"/>
          <w:szCs w:val="22"/>
          <w:lang w:eastAsia="en-AU"/>
        </w:rPr>
      </w:pPr>
      <w:hyperlink w:anchor="_Toc32505180" w:history="1">
        <w:r w:rsidR="004760F8" w:rsidRPr="00A12679">
          <w:rPr>
            <w:rStyle w:val="Hyperlink"/>
          </w:rPr>
          <w:t>Faeces, urine, vomit, sputum or meconium</w:t>
        </w:r>
        <w:r w:rsidR="004760F8">
          <w:rPr>
            <w:webHidden/>
          </w:rPr>
          <w:tab/>
        </w:r>
        <w:r w:rsidR="004760F8">
          <w:rPr>
            <w:webHidden/>
          </w:rPr>
          <w:fldChar w:fldCharType="begin"/>
        </w:r>
        <w:r w:rsidR="004760F8">
          <w:rPr>
            <w:webHidden/>
          </w:rPr>
          <w:instrText xml:space="preserve"> PAGEREF _Toc32505180 \h </w:instrText>
        </w:r>
        <w:r w:rsidR="004760F8">
          <w:rPr>
            <w:webHidden/>
          </w:rPr>
        </w:r>
        <w:r w:rsidR="004760F8">
          <w:rPr>
            <w:webHidden/>
          </w:rPr>
          <w:fldChar w:fldCharType="separate"/>
        </w:r>
        <w:r w:rsidR="004760F8">
          <w:rPr>
            <w:webHidden/>
          </w:rPr>
          <w:t>12</w:t>
        </w:r>
        <w:r w:rsidR="004760F8">
          <w:rPr>
            <w:webHidden/>
          </w:rPr>
          <w:fldChar w:fldCharType="end"/>
        </w:r>
      </w:hyperlink>
    </w:p>
    <w:p w14:paraId="063FE09D" w14:textId="174F03DA" w:rsidR="004760F8" w:rsidRDefault="004D01D1">
      <w:pPr>
        <w:pStyle w:val="TOC2"/>
        <w:rPr>
          <w:rFonts w:asciiTheme="minorHAnsi" w:eastAsiaTheme="minorEastAsia" w:hAnsiTheme="minorHAnsi" w:cstheme="minorBidi"/>
          <w:sz w:val="22"/>
          <w:szCs w:val="22"/>
          <w:lang w:eastAsia="en-AU"/>
        </w:rPr>
      </w:pPr>
      <w:hyperlink w:anchor="_Toc32505181" w:history="1">
        <w:r w:rsidR="004760F8" w:rsidRPr="00A12679">
          <w:rPr>
            <w:rStyle w:val="Hyperlink"/>
          </w:rPr>
          <w:t>Case studies</w:t>
        </w:r>
        <w:r w:rsidR="004760F8">
          <w:rPr>
            <w:webHidden/>
          </w:rPr>
          <w:tab/>
        </w:r>
        <w:r w:rsidR="004760F8">
          <w:rPr>
            <w:webHidden/>
          </w:rPr>
          <w:fldChar w:fldCharType="begin"/>
        </w:r>
        <w:r w:rsidR="004760F8">
          <w:rPr>
            <w:webHidden/>
          </w:rPr>
          <w:instrText xml:space="preserve"> PAGEREF _Toc32505181 \h </w:instrText>
        </w:r>
        <w:r w:rsidR="004760F8">
          <w:rPr>
            <w:webHidden/>
          </w:rPr>
        </w:r>
        <w:r w:rsidR="004760F8">
          <w:rPr>
            <w:webHidden/>
          </w:rPr>
          <w:fldChar w:fldCharType="separate"/>
        </w:r>
        <w:r w:rsidR="004760F8">
          <w:rPr>
            <w:webHidden/>
          </w:rPr>
          <w:t>12</w:t>
        </w:r>
        <w:r w:rsidR="004760F8">
          <w:rPr>
            <w:webHidden/>
          </w:rPr>
          <w:fldChar w:fldCharType="end"/>
        </w:r>
      </w:hyperlink>
    </w:p>
    <w:p w14:paraId="5B98A659" w14:textId="7E81EE58" w:rsidR="004760F8" w:rsidRDefault="004D01D1">
      <w:pPr>
        <w:pStyle w:val="TOC1"/>
        <w:rPr>
          <w:rFonts w:asciiTheme="minorHAnsi" w:eastAsiaTheme="minorEastAsia" w:hAnsiTheme="minorHAnsi" w:cstheme="minorBidi"/>
          <w:b w:val="0"/>
          <w:sz w:val="22"/>
          <w:szCs w:val="22"/>
          <w:lang w:eastAsia="en-AU"/>
        </w:rPr>
      </w:pPr>
      <w:hyperlink w:anchor="_Toc32505182" w:history="1">
        <w:r w:rsidR="004760F8" w:rsidRPr="00A12679">
          <w:rPr>
            <w:rStyle w:val="Hyperlink"/>
          </w:rPr>
          <w:t>Other ways to minimise contamination</w:t>
        </w:r>
        <w:r w:rsidR="004760F8">
          <w:rPr>
            <w:webHidden/>
          </w:rPr>
          <w:tab/>
        </w:r>
        <w:r w:rsidR="004760F8">
          <w:rPr>
            <w:webHidden/>
          </w:rPr>
          <w:fldChar w:fldCharType="begin"/>
        </w:r>
        <w:r w:rsidR="004760F8">
          <w:rPr>
            <w:webHidden/>
          </w:rPr>
          <w:instrText xml:space="preserve"> PAGEREF _Toc32505182 \h </w:instrText>
        </w:r>
        <w:r w:rsidR="004760F8">
          <w:rPr>
            <w:webHidden/>
          </w:rPr>
        </w:r>
        <w:r w:rsidR="004760F8">
          <w:rPr>
            <w:webHidden/>
          </w:rPr>
          <w:fldChar w:fldCharType="separate"/>
        </w:r>
        <w:r w:rsidR="004760F8">
          <w:rPr>
            <w:webHidden/>
          </w:rPr>
          <w:t>13</w:t>
        </w:r>
        <w:r w:rsidR="004760F8">
          <w:rPr>
            <w:webHidden/>
          </w:rPr>
          <w:fldChar w:fldCharType="end"/>
        </w:r>
      </w:hyperlink>
    </w:p>
    <w:p w14:paraId="0A3290D5" w14:textId="51BEDEED" w:rsidR="004760F8" w:rsidRDefault="004D01D1">
      <w:pPr>
        <w:pStyle w:val="TOC2"/>
        <w:rPr>
          <w:rFonts w:asciiTheme="minorHAnsi" w:eastAsiaTheme="minorEastAsia" w:hAnsiTheme="minorHAnsi" w:cstheme="minorBidi"/>
          <w:sz w:val="22"/>
          <w:szCs w:val="22"/>
          <w:lang w:eastAsia="en-AU"/>
        </w:rPr>
      </w:pPr>
      <w:hyperlink w:anchor="_Toc32505183" w:history="1">
        <w:r w:rsidR="004760F8" w:rsidRPr="00A12679">
          <w:rPr>
            <w:rStyle w:val="Hyperlink"/>
          </w:rPr>
          <w:t>Contacts</w:t>
        </w:r>
        <w:r w:rsidR="004760F8">
          <w:rPr>
            <w:webHidden/>
          </w:rPr>
          <w:tab/>
        </w:r>
        <w:r w:rsidR="004760F8">
          <w:rPr>
            <w:webHidden/>
          </w:rPr>
          <w:fldChar w:fldCharType="begin"/>
        </w:r>
        <w:r w:rsidR="004760F8">
          <w:rPr>
            <w:webHidden/>
          </w:rPr>
          <w:instrText xml:space="preserve"> PAGEREF _Toc32505183 \h </w:instrText>
        </w:r>
        <w:r w:rsidR="004760F8">
          <w:rPr>
            <w:webHidden/>
          </w:rPr>
        </w:r>
        <w:r w:rsidR="004760F8">
          <w:rPr>
            <w:webHidden/>
          </w:rPr>
          <w:fldChar w:fldCharType="separate"/>
        </w:r>
        <w:r w:rsidR="004760F8">
          <w:rPr>
            <w:webHidden/>
          </w:rPr>
          <w:t>13</w:t>
        </w:r>
        <w:r w:rsidR="004760F8">
          <w:rPr>
            <w:webHidden/>
          </w:rPr>
          <w:fldChar w:fldCharType="end"/>
        </w:r>
      </w:hyperlink>
    </w:p>
    <w:p w14:paraId="50EAEF74" w14:textId="1346330B" w:rsidR="004760F8" w:rsidRDefault="004D01D1">
      <w:pPr>
        <w:pStyle w:val="TOC2"/>
        <w:rPr>
          <w:rFonts w:asciiTheme="minorHAnsi" w:eastAsiaTheme="minorEastAsia" w:hAnsiTheme="minorHAnsi" w:cstheme="minorBidi"/>
          <w:sz w:val="22"/>
          <w:szCs w:val="22"/>
          <w:lang w:eastAsia="en-AU"/>
        </w:rPr>
      </w:pPr>
      <w:hyperlink w:anchor="_Toc32505184" w:history="1">
        <w:r w:rsidR="004760F8" w:rsidRPr="00A12679">
          <w:rPr>
            <w:rStyle w:val="Hyperlink"/>
          </w:rPr>
          <w:t>Reference documents</w:t>
        </w:r>
        <w:r w:rsidR="004760F8">
          <w:rPr>
            <w:webHidden/>
          </w:rPr>
          <w:tab/>
        </w:r>
        <w:r w:rsidR="004760F8">
          <w:rPr>
            <w:webHidden/>
          </w:rPr>
          <w:fldChar w:fldCharType="begin"/>
        </w:r>
        <w:r w:rsidR="004760F8">
          <w:rPr>
            <w:webHidden/>
          </w:rPr>
          <w:instrText xml:space="preserve"> PAGEREF _Toc32505184 \h </w:instrText>
        </w:r>
        <w:r w:rsidR="004760F8">
          <w:rPr>
            <w:webHidden/>
          </w:rPr>
        </w:r>
        <w:r w:rsidR="004760F8">
          <w:rPr>
            <w:webHidden/>
          </w:rPr>
          <w:fldChar w:fldCharType="separate"/>
        </w:r>
        <w:r w:rsidR="004760F8">
          <w:rPr>
            <w:webHidden/>
          </w:rPr>
          <w:t>13</w:t>
        </w:r>
        <w:r w:rsidR="004760F8">
          <w:rPr>
            <w:webHidden/>
          </w:rPr>
          <w:fldChar w:fldCharType="end"/>
        </w:r>
      </w:hyperlink>
    </w:p>
    <w:p w14:paraId="47A9D11A" w14:textId="33A57BC1" w:rsidR="00833AEC" w:rsidRDefault="00AD784C" w:rsidP="004760F8">
      <w:pPr>
        <w:pStyle w:val="DHHSbody"/>
        <w:spacing w:before="240"/>
        <w:rPr>
          <w:rFonts w:eastAsia="MS Gothic" w:cs="Arial"/>
          <w:bCs/>
          <w:color w:val="0074BC" w:themeColor="text2"/>
          <w:kern w:val="32"/>
          <w:sz w:val="36"/>
          <w:szCs w:val="40"/>
        </w:rPr>
      </w:pPr>
      <w:r>
        <w:fldChar w:fldCharType="end"/>
      </w:r>
      <w:bookmarkStart w:id="0" w:name="_Toc32420449"/>
      <w:r w:rsidR="00833AEC">
        <w:br w:type="page"/>
      </w:r>
    </w:p>
    <w:p w14:paraId="3E54DF59" w14:textId="566DA6EE" w:rsidR="00833AEC" w:rsidRDefault="00833AEC" w:rsidP="00833AEC">
      <w:pPr>
        <w:pStyle w:val="Heading1"/>
        <w:spacing w:before="0"/>
      </w:pPr>
      <w:bookmarkStart w:id="1" w:name="_Toc32505160"/>
      <w:r>
        <w:lastRenderedPageBreak/>
        <w:t>Foreword</w:t>
      </w:r>
      <w:bookmarkEnd w:id="0"/>
      <w:bookmarkEnd w:id="1"/>
    </w:p>
    <w:p w14:paraId="59093677" w14:textId="77777777" w:rsidR="00833AEC" w:rsidRDefault="00833AEC" w:rsidP="00833AEC">
      <w:pPr>
        <w:pStyle w:val="DHHSbody"/>
      </w:pPr>
      <w:r>
        <w:t>How we manage our waste directly affects the environment and the health and wellbeing of Victorians. The Victorian Government is committed to improving waste management in healthcare facilities to deliver positive environmental, social and economic impacts.</w:t>
      </w:r>
    </w:p>
    <w:p w14:paraId="517B6AF7" w14:textId="77777777" w:rsidR="00833AEC" w:rsidRDefault="00833AEC" w:rsidP="00833AEC">
      <w:pPr>
        <w:pStyle w:val="DHHSbody"/>
      </w:pPr>
      <w:r>
        <w:t xml:space="preserve">In </w:t>
      </w:r>
      <w:r>
        <w:rPr>
          <w:spacing w:val="-3"/>
        </w:rPr>
        <w:t xml:space="preserve">2017–18 </w:t>
      </w:r>
      <w:r>
        <w:t>Victorian public hospitals generated 35,000 tonnes of waste. Thirteen per cent of this was clinical and related waste, which accounted for 55 per cent of waste management costs. Audits have shown that in some areas up to 60 per cent</w:t>
      </w:r>
      <w:r>
        <w:rPr>
          <w:spacing w:val="-9"/>
        </w:rPr>
        <w:t xml:space="preserve"> of</w:t>
      </w:r>
    </w:p>
    <w:p w14:paraId="06C3699D" w14:textId="77777777" w:rsidR="00833AEC" w:rsidRDefault="00833AEC" w:rsidP="00833AEC">
      <w:pPr>
        <w:pStyle w:val="DHHSbody"/>
      </w:pPr>
      <w:r>
        <w:t>the clinical waste generated could have been safely disposed of in general or recycling streams at a significantly lower cost.</w:t>
      </w:r>
    </w:p>
    <w:p w14:paraId="11B76462" w14:textId="77777777" w:rsidR="00833AEC" w:rsidRDefault="00833AEC" w:rsidP="00833AEC">
      <w:pPr>
        <w:pStyle w:val="DHHSbody"/>
      </w:pPr>
      <w:r>
        <w:t xml:space="preserve">The Environment Protection Authority Victoria </w:t>
      </w:r>
      <w:r>
        <w:rPr>
          <w:spacing w:val="-7"/>
        </w:rPr>
        <w:t xml:space="preserve">(EPA) </w:t>
      </w:r>
      <w:r>
        <w:rPr>
          <w:i/>
        </w:rPr>
        <w:t xml:space="preserve">Clinical and Related Waste – Operational Guidance </w:t>
      </w:r>
      <w:r>
        <w:t>document (IWRG612) outlines the storage,</w:t>
      </w:r>
      <w:r>
        <w:rPr>
          <w:spacing w:val="-24"/>
        </w:rPr>
        <w:t xml:space="preserve"> </w:t>
      </w:r>
      <w:r>
        <w:t>transport, treatment and disposal regulations that apply to all clinical and related waste produced by hospitals, as well as other</w:t>
      </w:r>
      <w:r>
        <w:rPr>
          <w:spacing w:val="-1"/>
        </w:rPr>
        <w:t xml:space="preserve"> </w:t>
      </w:r>
      <w:r>
        <w:t>generators.</w:t>
      </w:r>
    </w:p>
    <w:p w14:paraId="4392CDDB" w14:textId="77777777" w:rsidR="00833AEC" w:rsidRDefault="00833AEC" w:rsidP="00833AEC">
      <w:pPr>
        <w:pStyle w:val="DHHSbody"/>
      </w:pPr>
      <w:r>
        <w:t>The contents of this Clinical and Related Waste Guidance – Supplement for healthcare staff is the result of extensive consultation and collaboration with a range of stakeholders, including clinical staff, waste processors, government departments, pharmaceutical and infection control networks, as</w:t>
      </w:r>
    </w:p>
    <w:p w14:paraId="71F0249F" w14:textId="77777777" w:rsidR="00833AEC" w:rsidRDefault="00833AEC" w:rsidP="00833AEC">
      <w:pPr>
        <w:pStyle w:val="DHHSbody"/>
      </w:pPr>
      <w:r>
        <w:t>well as Victorian water authorities and independent clinical waste experts. It provides a simple and practical decision-making process for determining how we should best manage clinical waste.</w:t>
      </w:r>
    </w:p>
    <w:p w14:paraId="24B9CE57" w14:textId="77777777" w:rsidR="00833AEC" w:rsidRDefault="00833AEC" w:rsidP="00833AEC">
      <w:pPr>
        <w:pStyle w:val="DHHSbody"/>
      </w:pPr>
      <w:r>
        <w:t>I encourage all health service staff responsible for managing clinical waste to familiarise themselves with its contents so we can continue to deliver the best health and wellbeing for all Victorians, while also protecting the environment and reducing health costs.</w:t>
      </w:r>
    </w:p>
    <w:tbl>
      <w:tblPr>
        <w:tblStyle w:val="TableGrid"/>
        <w:tblW w:w="0" w:type="auto"/>
        <w:tblLook w:val="04A0" w:firstRow="1" w:lastRow="0" w:firstColumn="1" w:lastColumn="0" w:noHBand="0" w:noVBand="1"/>
      </w:tblPr>
      <w:tblGrid>
        <w:gridCol w:w="5245"/>
        <w:gridCol w:w="4161"/>
      </w:tblGrid>
      <w:tr w:rsidR="00833AEC" w14:paraId="679C3E78" w14:textId="77777777" w:rsidTr="00833AEC">
        <w:trPr>
          <w:cnfStyle w:val="100000000000" w:firstRow="1" w:lastRow="0" w:firstColumn="0" w:lastColumn="0" w:oddVBand="0" w:evenVBand="0" w:oddHBand="0" w:evenHBand="0" w:firstRowFirstColumn="0" w:firstRowLastColumn="0" w:lastRowFirstColumn="0" w:lastRowLastColumn="0"/>
        </w:trPr>
        <w:tc>
          <w:tcPr>
            <w:tcW w:w="5245" w:type="dxa"/>
            <w:tcBorders>
              <w:top w:val="nil"/>
              <w:left w:val="nil"/>
              <w:bottom w:val="nil"/>
              <w:right w:val="nil"/>
            </w:tcBorders>
            <w:shd w:val="clear" w:color="auto" w:fill="auto"/>
            <w:vAlign w:val="center"/>
          </w:tcPr>
          <w:p w14:paraId="7E477211" w14:textId="77777777" w:rsidR="00833AEC" w:rsidRPr="00F77709" w:rsidRDefault="00833AEC" w:rsidP="00833AEC">
            <w:pPr>
              <w:pStyle w:val="DHHSbody"/>
            </w:pPr>
            <w:r w:rsidRPr="00F77709">
              <w:rPr>
                <w:noProof/>
              </w:rPr>
              <w:drawing>
                <wp:inline distT="0" distB="0" distL="0" distR="0" wp14:anchorId="4E10FD7E" wp14:editId="1A3BB960">
                  <wp:extent cx="817236" cy="594360"/>
                  <wp:effectExtent l="0" t="0" r="0" b="0"/>
                  <wp:docPr id="17" name="image13.png" descr="Robert Fisk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pic:nvPicPr>
                        <pic:blipFill>
                          <a:blip r:embed="rId14" cstate="print"/>
                          <a:stretch>
                            <a:fillRect/>
                          </a:stretch>
                        </pic:blipFill>
                        <pic:spPr>
                          <a:xfrm>
                            <a:off x="0" y="0"/>
                            <a:ext cx="817236" cy="594360"/>
                          </a:xfrm>
                          <a:prstGeom prst="rect">
                            <a:avLst/>
                          </a:prstGeom>
                        </pic:spPr>
                      </pic:pic>
                    </a:graphicData>
                  </a:graphic>
                </wp:inline>
              </w:drawing>
            </w:r>
          </w:p>
          <w:p w14:paraId="15EFFFF9" w14:textId="366405C5" w:rsidR="00833AEC" w:rsidRPr="001C6EE2" w:rsidRDefault="00833AEC" w:rsidP="00833AEC">
            <w:pPr>
              <w:pStyle w:val="DHHSbody"/>
              <w:rPr>
                <w:b/>
                <w:bCs/>
              </w:rPr>
            </w:pPr>
            <w:r w:rsidRPr="001C6EE2">
              <w:rPr>
                <w:b/>
                <w:bCs/>
              </w:rPr>
              <w:t>Robert Fiske</w:t>
            </w:r>
          </w:p>
          <w:p w14:paraId="333BA86F" w14:textId="77777777" w:rsidR="00833AEC" w:rsidRPr="00F77709" w:rsidRDefault="00833AEC" w:rsidP="00833AEC">
            <w:pPr>
              <w:pStyle w:val="DHHSbody"/>
            </w:pPr>
            <w:r w:rsidRPr="00F77709">
              <w:t>Chief Executive Officer</w:t>
            </w:r>
            <w:r w:rsidRPr="00F77709">
              <w:br/>
              <w:t>Victorian Health and Human Services Building Authority</w:t>
            </w:r>
          </w:p>
        </w:tc>
        <w:tc>
          <w:tcPr>
            <w:tcW w:w="4161" w:type="dxa"/>
            <w:tcBorders>
              <w:top w:val="nil"/>
              <w:left w:val="nil"/>
              <w:bottom w:val="nil"/>
              <w:right w:val="nil"/>
            </w:tcBorders>
            <w:shd w:val="clear" w:color="auto" w:fill="auto"/>
            <w:vAlign w:val="center"/>
          </w:tcPr>
          <w:p w14:paraId="12B96DEA" w14:textId="77777777" w:rsidR="00833AEC" w:rsidRDefault="00833AEC" w:rsidP="00833AEC">
            <w:pPr>
              <w:pStyle w:val="DHHSbody"/>
            </w:pPr>
            <w:r>
              <w:rPr>
                <w:noProof/>
              </w:rPr>
              <w:drawing>
                <wp:inline distT="0" distB="0" distL="0" distR="0" wp14:anchorId="4430F0D8" wp14:editId="665E44FE">
                  <wp:extent cx="1609725" cy="419100"/>
                  <wp:effectExtent l="0" t="0" r="9525" b="0"/>
                  <wp:docPr id="19" name="Picture 19" descr="Terry Symonds' signatur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pic:spPr>
                      </pic:pic>
                    </a:graphicData>
                  </a:graphic>
                </wp:inline>
              </w:drawing>
            </w:r>
          </w:p>
          <w:p w14:paraId="7DB57A52" w14:textId="467C3D2F" w:rsidR="00833AEC" w:rsidRPr="00F77709" w:rsidRDefault="00833AEC" w:rsidP="00833AEC">
            <w:pPr>
              <w:pStyle w:val="DHHSbody"/>
              <w:rPr>
                <w:b/>
                <w:bCs/>
              </w:rPr>
            </w:pPr>
            <w:r w:rsidRPr="00F77709">
              <w:rPr>
                <w:b/>
                <w:bCs/>
              </w:rPr>
              <w:t>Terry Symonds</w:t>
            </w:r>
          </w:p>
          <w:p w14:paraId="36229433" w14:textId="77777777" w:rsidR="00833AEC" w:rsidRPr="00F77709" w:rsidRDefault="00833AEC" w:rsidP="00833AEC">
            <w:pPr>
              <w:pStyle w:val="DHHSbody"/>
            </w:pPr>
            <w:r>
              <w:t>Deputy Secretary, Health and</w:t>
            </w:r>
            <w:r>
              <w:rPr>
                <w:spacing w:val="-23"/>
              </w:rPr>
              <w:t xml:space="preserve"> </w:t>
            </w:r>
            <w:r>
              <w:t>Wellbeing</w:t>
            </w:r>
            <w:r>
              <w:br/>
              <w:t>Department of Health and Human Services</w:t>
            </w:r>
          </w:p>
        </w:tc>
      </w:tr>
    </w:tbl>
    <w:p w14:paraId="6A68256B" w14:textId="77777777" w:rsidR="004760F8" w:rsidRDefault="004760F8">
      <w:pPr>
        <w:rPr>
          <w:rFonts w:ascii="Arial" w:eastAsia="MS Gothic" w:hAnsi="Arial" w:cs="Arial"/>
          <w:bCs/>
          <w:color w:val="0074BC" w:themeColor="text2"/>
          <w:kern w:val="32"/>
          <w:sz w:val="36"/>
          <w:szCs w:val="40"/>
        </w:rPr>
      </w:pPr>
      <w:r>
        <w:br w:type="page"/>
      </w:r>
    </w:p>
    <w:p w14:paraId="3D274F2C" w14:textId="1193F120" w:rsidR="00833AEC" w:rsidRDefault="00833AEC" w:rsidP="004760F8">
      <w:pPr>
        <w:pStyle w:val="Heading1"/>
      </w:pPr>
      <w:bookmarkStart w:id="2" w:name="_Toc32420450"/>
      <w:bookmarkStart w:id="3" w:name="_Toc32505161"/>
      <w:r>
        <w:lastRenderedPageBreak/>
        <w:t>Introduction</w:t>
      </w:r>
      <w:bookmarkEnd w:id="2"/>
      <w:bookmarkEnd w:id="3"/>
    </w:p>
    <w:p w14:paraId="281512C4" w14:textId="77777777" w:rsidR="00833AEC" w:rsidRDefault="00833AEC" w:rsidP="00833AEC">
      <w:pPr>
        <w:pStyle w:val="Heading2"/>
      </w:pPr>
      <w:bookmarkStart w:id="4" w:name="_Toc32420451"/>
      <w:bookmarkStart w:id="5" w:name="_Toc32505162"/>
      <w:r>
        <w:t>Who should read this booklet?</w:t>
      </w:r>
      <w:bookmarkEnd w:id="4"/>
      <w:bookmarkEnd w:id="5"/>
    </w:p>
    <w:p w14:paraId="4B7DC37E" w14:textId="77777777" w:rsidR="00833AEC" w:rsidRDefault="00833AEC" w:rsidP="00833AEC">
      <w:pPr>
        <w:pStyle w:val="DHHSbody"/>
      </w:pPr>
      <w:r>
        <w:rPr>
          <w:color w:val="231F20"/>
        </w:rPr>
        <w:t xml:space="preserve">Healthcare staff within Victoria who handle </w:t>
      </w:r>
      <w:r>
        <w:rPr>
          <w:color w:val="231F20"/>
          <w:spacing w:val="-3"/>
        </w:rPr>
        <w:t xml:space="preserve">clinical </w:t>
      </w:r>
      <w:r>
        <w:rPr>
          <w:color w:val="231F20"/>
        </w:rPr>
        <w:t>waste in their day-to-day work.</w:t>
      </w:r>
    </w:p>
    <w:p w14:paraId="32C18DE5" w14:textId="77777777" w:rsidR="00833AEC" w:rsidRDefault="00833AEC" w:rsidP="00833AEC">
      <w:pPr>
        <w:pStyle w:val="Heading2"/>
      </w:pPr>
      <w:bookmarkStart w:id="6" w:name="_Toc32420452"/>
      <w:bookmarkStart w:id="7" w:name="_Toc32505163"/>
      <w:r>
        <w:t>What is this booklet for?</w:t>
      </w:r>
      <w:bookmarkEnd w:id="6"/>
      <w:bookmarkEnd w:id="7"/>
    </w:p>
    <w:p w14:paraId="466D4ADB" w14:textId="77777777" w:rsidR="00833AEC" w:rsidRDefault="00833AEC" w:rsidP="00833AEC">
      <w:pPr>
        <w:pStyle w:val="DHHSbody"/>
        <w:rPr>
          <w:sz w:val="18"/>
        </w:rPr>
      </w:pPr>
      <w:r>
        <w:rPr>
          <w:color w:val="231F20"/>
          <w:sz w:val="18"/>
        </w:rPr>
        <w:t xml:space="preserve">This booklet is a user-friendly guide to supplement the </w:t>
      </w:r>
      <w:r>
        <w:rPr>
          <w:color w:val="231F20"/>
          <w:spacing w:val="-7"/>
          <w:sz w:val="18"/>
        </w:rPr>
        <w:t xml:space="preserve">EPA’s </w:t>
      </w:r>
      <w:r>
        <w:rPr>
          <w:i/>
          <w:color w:val="231F20"/>
          <w:sz w:val="18"/>
        </w:rPr>
        <w:t xml:space="preserve">Clinical and Related Waste – </w:t>
      </w:r>
      <w:r>
        <w:rPr>
          <w:i/>
          <w:color w:val="231F20"/>
          <w:spacing w:val="-3"/>
          <w:sz w:val="18"/>
        </w:rPr>
        <w:t xml:space="preserve">Operational </w:t>
      </w:r>
      <w:r>
        <w:rPr>
          <w:i/>
          <w:color w:val="231F20"/>
          <w:sz w:val="18"/>
        </w:rPr>
        <w:t xml:space="preserve">Guidance document </w:t>
      </w:r>
      <w:r>
        <w:rPr>
          <w:color w:val="231F20"/>
          <w:sz w:val="18"/>
        </w:rPr>
        <w:t>(IWRG612).</w:t>
      </w:r>
    </w:p>
    <w:p w14:paraId="69DD8408" w14:textId="77777777" w:rsidR="00833AEC" w:rsidRDefault="00833AEC" w:rsidP="00833AEC">
      <w:pPr>
        <w:pStyle w:val="DHHSbody"/>
      </w:pPr>
      <w:r>
        <w:rPr>
          <w:color w:val="231F20"/>
        </w:rPr>
        <w:t>It provides a simple and practical decision-making process that will help you identify whether items are clinical and related wastes, landfill waste, or can be recycled. It also addresses some common misunderstandings regarding what is and is not clinical and related waste.</w:t>
      </w:r>
    </w:p>
    <w:p w14:paraId="721F03E4" w14:textId="77777777" w:rsidR="00833AEC" w:rsidRDefault="00833AEC" w:rsidP="00833AEC">
      <w:pPr>
        <w:pStyle w:val="Heading2"/>
      </w:pPr>
      <w:bookmarkStart w:id="8" w:name="_Toc32420453"/>
      <w:bookmarkStart w:id="9" w:name="_Toc32505164"/>
      <w:r>
        <w:t>Why is clinical waste management important?</w:t>
      </w:r>
      <w:bookmarkEnd w:id="8"/>
      <w:bookmarkEnd w:id="9"/>
    </w:p>
    <w:p w14:paraId="2AE52BA1" w14:textId="77777777" w:rsidR="00833AEC" w:rsidRDefault="00833AEC" w:rsidP="00833AEC">
      <w:pPr>
        <w:pStyle w:val="DHHSbody"/>
      </w:pPr>
      <w:r>
        <w:t>Hospitals, and their staff, are responsible for ensuring the safe and correct storage and handling of clinical waste.</w:t>
      </w:r>
    </w:p>
    <w:p w14:paraId="34C7853F" w14:textId="77777777" w:rsidR="00833AEC" w:rsidRDefault="00833AEC" w:rsidP="00833AEC">
      <w:pPr>
        <w:pStyle w:val="DHHSbody"/>
      </w:pPr>
      <w:r>
        <w:t>Sorting clinical waste correctly can have a wide range of positive consequences including:</w:t>
      </w:r>
    </w:p>
    <w:p w14:paraId="654F9FD8" w14:textId="77777777" w:rsidR="00833AEC" w:rsidRDefault="00833AEC" w:rsidP="00833AEC">
      <w:pPr>
        <w:pStyle w:val="DHHSbullet1"/>
      </w:pPr>
      <w:r>
        <w:t xml:space="preserve">reduced risk of anti-microbial contamination and reduced risk of introducing of </w:t>
      </w:r>
      <w:r>
        <w:rPr>
          <w:spacing w:val="-3"/>
        </w:rPr>
        <w:t xml:space="preserve">anti-microbial </w:t>
      </w:r>
      <w:r>
        <w:t>resistance into the</w:t>
      </w:r>
      <w:r>
        <w:rPr>
          <w:spacing w:val="-2"/>
        </w:rPr>
        <w:t xml:space="preserve"> </w:t>
      </w:r>
      <w:r>
        <w:t>environment</w:t>
      </w:r>
    </w:p>
    <w:p w14:paraId="3AB41921" w14:textId="77777777" w:rsidR="00833AEC" w:rsidRDefault="00833AEC" w:rsidP="00833AEC">
      <w:pPr>
        <w:pStyle w:val="DHHSbullet1"/>
      </w:pPr>
      <w:r>
        <w:t>reduced incidence of needlestick</w:t>
      </w:r>
      <w:r>
        <w:rPr>
          <w:spacing w:val="-1"/>
        </w:rPr>
        <w:t xml:space="preserve"> </w:t>
      </w:r>
      <w:r>
        <w:t>injuries</w:t>
      </w:r>
    </w:p>
    <w:p w14:paraId="2A34E3E7" w14:textId="77777777" w:rsidR="00833AEC" w:rsidRDefault="00833AEC" w:rsidP="00833AEC">
      <w:pPr>
        <w:pStyle w:val="DHHSbullet1"/>
      </w:pPr>
      <w:r>
        <w:t>lower infection risk for</w:t>
      </w:r>
      <w:r>
        <w:rPr>
          <w:spacing w:val="-1"/>
        </w:rPr>
        <w:t xml:space="preserve"> </w:t>
      </w:r>
      <w:r>
        <w:t>staff</w:t>
      </w:r>
    </w:p>
    <w:p w14:paraId="4A17D163" w14:textId="77777777" w:rsidR="00833AEC" w:rsidRDefault="00833AEC" w:rsidP="00833AEC">
      <w:pPr>
        <w:pStyle w:val="DHHSbullet1"/>
      </w:pPr>
      <w:r>
        <w:t xml:space="preserve">reduced damage to the environment such as reduced water table contamination </w:t>
      </w:r>
      <w:r>
        <w:rPr>
          <w:spacing w:val="-6"/>
        </w:rPr>
        <w:t xml:space="preserve">and </w:t>
      </w:r>
      <w:r>
        <w:t>carbon</w:t>
      </w:r>
      <w:r>
        <w:rPr>
          <w:spacing w:val="-1"/>
        </w:rPr>
        <w:t xml:space="preserve"> </w:t>
      </w:r>
      <w:r>
        <w:t>emissions</w:t>
      </w:r>
    </w:p>
    <w:p w14:paraId="0EC88CD9" w14:textId="77777777" w:rsidR="00833AEC" w:rsidRDefault="00833AEC" w:rsidP="00833AEC">
      <w:pPr>
        <w:pStyle w:val="DHHSbullet1"/>
      </w:pPr>
      <w:r>
        <w:t>reduced waste management costs for</w:t>
      </w:r>
      <w:r>
        <w:rPr>
          <w:spacing w:val="-11"/>
        </w:rPr>
        <w:t xml:space="preserve"> </w:t>
      </w:r>
      <w:r>
        <w:t>hospitals</w:t>
      </w:r>
    </w:p>
    <w:p w14:paraId="3ED0180E" w14:textId="77777777" w:rsidR="00833AEC" w:rsidRDefault="00833AEC" w:rsidP="00833AEC">
      <w:pPr>
        <w:pStyle w:val="DHHSbullet1"/>
      </w:pPr>
      <w:r>
        <w:t xml:space="preserve">compliance with </w:t>
      </w:r>
      <w:r>
        <w:rPr>
          <w:spacing w:val="-5"/>
        </w:rPr>
        <w:t xml:space="preserve">EPA </w:t>
      </w:r>
      <w:r>
        <w:t>and WorkSafe</w:t>
      </w:r>
      <w:r>
        <w:rPr>
          <w:spacing w:val="-6"/>
        </w:rPr>
        <w:t xml:space="preserve"> </w:t>
      </w:r>
      <w:r>
        <w:t>regulations.</w:t>
      </w:r>
    </w:p>
    <w:p w14:paraId="5037A5E7" w14:textId="77777777" w:rsidR="00833AEC" w:rsidRDefault="00833AEC" w:rsidP="00833AEC">
      <w:pPr>
        <w:pStyle w:val="DHHSbodyafterbullets"/>
      </w:pPr>
      <w:r>
        <w:t>This booklet, as well as the guidelines themselves, should be read in conjunction with your health service’s healthcare protocols. If specific questions are not answered in this booklet seek clarification with your health service.</w:t>
      </w:r>
    </w:p>
    <w:p w14:paraId="01E48070" w14:textId="77777777" w:rsidR="00833AEC" w:rsidRPr="00F77709" w:rsidRDefault="00833AEC" w:rsidP="00833AEC">
      <w:pPr>
        <w:pStyle w:val="DHHSbody"/>
        <w:rPr>
          <w:b/>
          <w:bCs/>
          <w:i/>
          <w:iCs/>
        </w:rPr>
      </w:pPr>
      <w:r w:rsidRPr="00F77709">
        <w:rPr>
          <w:b/>
          <w:bCs/>
          <w:i/>
          <w:iCs/>
        </w:rPr>
        <w:t>Note:</w:t>
      </w:r>
    </w:p>
    <w:p w14:paraId="36200348" w14:textId="10BF0702" w:rsidR="00833AEC" w:rsidRPr="00706DD6" w:rsidRDefault="00833AEC" w:rsidP="00706DD6">
      <w:pPr>
        <w:pStyle w:val="DHHSnumberdigit"/>
      </w:pPr>
      <w:r w:rsidRPr="00706DD6">
        <w:t>The treatment and disposal of radioactive waste is not addressed in this document. For guidance on radioactive waste management refer to the Victorian Radiation Act 2005 and the Department of Health and Human Services Disposal of Radioactive Material guidance (see Australian Guidelines for the Prevention and Control of Infection in Healthcare (2019)</w:t>
      </w:r>
      <w:r w:rsidR="00C91A80" w:rsidRPr="00706DD6">
        <w:t>)</w:t>
      </w:r>
    </w:p>
    <w:p w14:paraId="052ABCA6" w14:textId="678D249E" w:rsidR="00833AEC" w:rsidRPr="00706DD6" w:rsidRDefault="00833AEC" w:rsidP="00706DD6">
      <w:pPr>
        <w:pStyle w:val="DHHSnumberdigit"/>
      </w:pPr>
      <w:r w:rsidRPr="00706DD6">
        <w:t xml:space="preserve">Flush refers to the disposal of waste as per standard precautions. Dedicated flush facilities must be used and appropriate personal protective equipment worn </w:t>
      </w:r>
      <w:r w:rsidR="00C91A80" w:rsidRPr="00706DD6">
        <w:t>&lt;</w:t>
      </w:r>
      <w:hyperlink r:id="rId16" w:history="1">
        <w:r w:rsidR="00494E1E" w:rsidRPr="00706DD6">
          <w:rPr>
            <w:rStyle w:val="Hyperlink"/>
            <w:color w:val="auto"/>
            <w:u w:val="none"/>
          </w:rPr>
          <w:t>https://www.nhmrc.gov.au/health-advice/public-health/preventing-infection</w:t>
        </w:r>
      </w:hyperlink>
      <w:r w:rsidR="00C91A80" w:rsidRPr="00706DD6">
        <w:t xml:space="preserve">&gt; </w:t>
      </w:r>
    </w:p>
    <w:p w14:paraId="5393EE77" w14:textId="77777777" w:rsidR="00833AEC" w:rsidRPr="00706DD6" w:rsidRDefault="00833AEC" w:rsidP="00706DD6">
      <w:pPr>
        <w:pStyle w:val="DHHSnumberdigit"/>
      </w:pPr>
      <w:r w:rsidRPr="00706DD6">
        <w:t>This booklet should not be used by healthcare staff outside of Victoria because the regulations for clinical and related waste differ between states and territories.</w:t>
      </w:r>
    </w:p>
    <w:p w14:paraId="6D3033FA" w14:textId="77777777" w:rsidR="00833AEC" w:rsidRPr="00C91A80" w:rsidRDefault="00833AEC" w:rsidP="00C91A80">
      <w:pPr>
        <w:pStyle w:val="DHHSbody"/>
      </w:pPr>
      <w:r w:rsidRPr="00C91A80">
        <w:br w:type="page"/>
      </w:r>
    </w:p>
    <w:p w14:paraId="6D46FB79" w14:textId="77777777" w:rsidR="00833AEC" w:rsidRDefault="00833AEC" w:rsidP="00833AEC">
      <w:pPr>
        <w:pStyle w:val="Heading1"/>
      </w:pPr>
      <w:bookmarkStart w:id="10" w:name="_Toc32420454"/>
      <w:bookmarkStart w:id="11" w:name="_Toc32505165"/>
      <w:r>
        <w:lastRenderedPageBreak/>
        <w:t>Waste decision tree</w:t>
      </w:r>
      <w:bookmarkEnd w:id="10"/>
      <w:bookmarkEnd w:id="11"/>
    </w:p>
    <w:p w14:paraId="572A4253" w14:textId="77777777" w:rsidR="00833AEC" w:rsidRPr="0095396B" w:rsidRDefault="00833AEC" w:rsidP="00833AEC">
      <w:pPr>
        <w:pStyle w:val="DHHSbody"/>
        <w:rPr>
          <w:b/>
          <w:bCs/>
        </w:rPr>
      </w:pPr>
      <w:r w:rsidRPr="0095396B">
        <w:rPr>
          <w:b/>
          <w:bCs/>
        </w:rPr>
        <w:t xml:space="preserve">Has the item come into contact with a cytotoxic substance? </w:t>
      </w:r>
    </w:p>
    <w:p w14:paraId="0B3F3D40" w14:textId="77777777" w:rsidR="00833AEC" w:rsidRPr="0022278A" w:rsidRDefault="00833AEC" w:rsidP="0022278A">
      <w:pPr>
        <w:pStyle w:val="DHHSbody"/>
      </w:pPr>
      <w:r w:rsidRPr="0022278A">
        <w:t>If YES, dispose in cytotoxic waste bin [end]</w:t>
      </w:r>
    </w:p>
    <w:p w14:paraId="141D8496" w14:textId="77777777" w:rsidR="00833AEC" w:rsidRPr="0022278A" w:rsidRDefault="00833AEC" w:rsidP="0022278A">
      <w:pPr>
        <w:pStyle w:val="DHHSbody"/>
      </w:pPr>
      <w:r w:rsidRPr="0022278A">
        <w:t xml:space="preserve">If NO, is the item human tissue? </w:t>
      </w:r>
    </w:p>
    <w:p w14:paraId="4B743B25" w14:textId="77777777" w:rsidR="00833AEC" w:rsidRPr="0022278A" w:rsidRDefault="00833AEC" w:rsidP="0022278A">
      <w:pPr>
        <w:pStyle w:val="DHHSbody"/>
      </w:pPr>
      <w:r w:rsidRPr="0022278A">
        <w:t>If YES, dispose in anatomical waste bin [end]</w:t>
      </w:r>
    </w:p>
    <w:p w14:paraId="450DCD50" w14:textId="77777777" w:rsidR="00833AEC" w:rsidRPr="0022278A" w:rsidRDefault="00833AEC" w:rsidP="0022278A">
      <w:pPr>
        <w:pStyle w:val="DHHSbody"/>
      </w:pPr>
      <w:r w:rsidRPr="0022278A">
        <w:t>If NO, is it, or does it contain a Schedule 8 drug or an extractable volume of pharmaceutical substance (other than saline, sugar or a nutrient solution)?</w:t>
      </w:r>
    </w:p>
    <w:p w14:paraId="3D8A4BDB" w14:textId="1838E155" w:rsidR="00833AEC" w:rsidRPr="0022278A" w:rsidRDefault="00833AEC" w:rsidP="0022278A">
      <w:pPr>
        <w:pStyle w:val="DHHSbody"/>
      </w:pPr>
      <w:r w:rsidRPr="0022278A">
        <w:t>If YES, dispose in pharmaceutical waste</w:t>
      </w:r>
      <w:r w:rsidR="004D01D1">
        <w:t>. S</w:t>
      </w:r>
      <w:r w:rsidR="004D01D1" w:rsidRPr="004D01D1">
        <w:t>chedule 8 drugs must be destroyed in accordance with the Drugs, Poisons and Controlled Substances Regulations 2017</w:t>
      </w:r>
      <w:r w:rsidR="004D01D1" w:rsidRPr="004D01D1">
        <w:t xml:space="preserve"> </w:t>
      </w:r>
      <w:r w:rsidRPr="0022278A">
        <w:t>[end]</w:t>
      </w:r>
    </w:p>
    <w:p w14:paraId="7D8CE992" w14:textId="77777777" w:rsidR="00833AEC" w:rsidRPr="0022278A" w:rsidRDefault="00833AEC" w:rsidP="0022278A">
      <w:pPr>
        <w:pStyle w:val="DHHSbody"/>
      </w:pPr>
      <w:r w:rsidRPr="0022278A">
        <w:t>If NO, could the item cut or penetrate skin?</w:t>
      </w:r>
    </w:p>
    <w:p w14:paraId="21E97E27" w14:textId="77777777" w:rsidR="00833AEC" w:rsidRPr="0022278A" w:rsidRDefault="00833AEC" w:rsidP="0022278A">
      <w:pPr>
        <w:pStyle w:val="DHHSbody"/>
      </w:pPr>
      <w:r w:rsidRPr="0022278A">
        <w:t>If YES, dispose in sharps waste [end]</w:t>
      </w:r>
    </w:p>
    <w:p w14:paraId="1599583E" w14:textId="77777777" w:rsidR="00833AEC" w:rsidRPr="0022278A" w:rsidRDefault="00833AEC" w:rsidP="0022278A">
      <w:pPr>
        <w:pStyle w:val="DHHSbody"/>
      </w:pPr>
      <w:r w:rsidRPr="0022278A">
        <w:t>If NO, can you see blood on the item?</w:t>
      </w:r>
    </w:p>
    <w:p w14:paraId="36DAED3C" w14:textId="77777777" w:rsidR="00833AEC" w:rsidRPr="0022278A" w:rsidRDefault="00833AEC" w:rsidP="0022278A">
      <w:pPr>
        <w:pStyle w:val="DHHSbody"/>
      </w:pPr>
      <w:r w:rsidRPr="0022278A">
        <w:t>If YES, dispose as clinical waste [end]</w:t>
      </w:r>
    </w:p>
    <w:p w14:paraId="07CBDECF" w14:textId="77777777" w:rsidR="00833AEC" w:rsidRPr="0022278A" w:rsidRDefault="00833AEC" w:rsidP="0022278A">
      <w:pPr>
        <w:pStyle w:val="DHHSbody"/>
      </w:pPr>
      <w:r w:rsidRPr="0022278A">
        <w:t>If NO, has the item been in contact with someone who has or is suspected of having, a communicable disease?</w:t>
      </w:r>
    </w:p>
    <w:p w14:paraId="332F4DAB" w14:textId="77777777" w:rsidR="00833AEC" w:rsidRPr="0022278A" w:rsidRDefault="00833AEC" w:rsidP="0022278A">
      <w:pPr>
        <w:pStyle w:val="DHHSbody"/>
      </w:pPr>
      <w:r w:rsidRPr="0022278A">
        <w:t>If YES, dispose as clinical waste [end]</w:t>
      </w:r>
    </w:p>
    <w:p w14:paraId="38C361E1" w14:textId="77777777" w:rsidR="00833AEC" w:rsidRPr="0022278A" w:rsidRDefault="00833AEC" w:rsidP="0022278A">
      <w:pPr>
        <w:pStyle w:val="DHHSbody"/>
      </w:pPr>
      <w:r w:rsidRPr="0022278A">
        <w:t>If NO, is there a recycling bin for item in your ward/department?</w:t>
      </w:r>
    </w:p>
    <w:p w14:paraId="3A8EB687" w14:textId="77777777" w:rsidR="00833AEC" w:rsidRPr="0022278A" w:rsidRDefault="00833AEC" w:rsidP="0022278A">
      <w:pPr>
        <w:pStyle w:val="DHHSbody"/>
      </w:pPr>
      <w:r w:rsidRPr="0022278A">
        <w:t>If YES, dispose in recycling bin [end]</w:t>
      </w:r>
    </w:p>
    <w:p w14:paraId="0FFD1EF4" w14:textId="77777777" w:rsidR="00833AEC" w:rsidRPr="0022278A" w:rsidRDefault="00833AEC" w:rsidP="0022278A">
      <w:pPr>
        <w:pStyle w:val="DHHSbody"/>
      </w:pPr>
      <w:r w:rsidRPr="0022278A">
        <w:t>If NO, landfill.</w:t>
      </w:r>
    </w:p>
    <w:p w14:paraId="7C993C2C" w14:textId="77777777" w:rsidR="00833AEC" w:rsidRDefault="00833AEC" w:rsidP="00833AEC">
      <w:pPr>
        <w:pStyle w:val="Heading2"/>
      </w:pPr>
      <w:bookmarkStart w:id="12" w:name="_Toc32420455"/>
      <w:bookmarkStart w:id="13" w:name="_Toc32505166"/>
      <w:r>
        <w:t>Body fluids (including bulk body fluids)</w:t>
      </w:r>
      <w:bookmarkEnd w:id="12"/>
      <w:bookmarkEnd w:id="13"/>
    </w:p>
    <w:p w14:paraId="1DA65368" w14:textId="77777777" w:rsidR="00833AEC" w:rsidRDefault="00833AEC" w:rsidP="00833AEC">
      <w:pPr>
        <w:pStyle w:val="DHHSbody"/>
      </w:pPr>
      <w:r>
        <w:t xml:space="preserve">Note: faeces, urine, vomit, sputum and meconium </w:t>
      </w:r>
      <w:r>
        <w:rPr>
          <w:b/>
          <w:bCs/>
        </w:rPr>
        <w:t>are not</w:t>
      </w:r>
      <w:r>
        <w:t xml:space="preserve"> body fluids.</w:t>
      </w:r>
    </w:p>
    <w:p w14:paraId="10DA7428" w14:textId="77777777" w:rsidR="00833AEC" w:rsidRPr="00C91A80" w:rsidRDefault="00833AEC" w:rsidP="00833AEC">
      <w:pPr>
        <w:pStyle w:val="DHHSbody"/>
        <w:rPr>
          <w:b/>
          <w:bCs/>
        </w:rPr>
      </w:pPr>
      <w:r w:rsidRPr="00C91A80">
        <w:rPr>
          <w:b/>
          <w:bCs/>
        </w:rPr>
        <w:t xml:space="preserve">Are you able to flush as per standard precautions? </w:t>
      </w:r>
    </w:p>
    <w:p w14:paraId="27A6DEED" w14:textId="77777777" w:rsidR="00833AEC" w:rsidRDefault="00833AEC" w:rsidP="00833AEC">
      <w:pPr>
        <w:pStyle w:val="DHHSbody"/>
      </w:pPr>
      <w:r>
        <w:t>If YES, flush [end]</w:t>
      </w:r>
    </w:p>
    <w:p w14:paraId="47C2ED02" w14:textId="77777777" w:rsidR="00833AEC" w:rsidRDefault="00833AEC" w:rsidP="00833AEC">
      <w:pPr>
        <w:pStyle w:val="DHHSbody"/>
      </w:pPr>
      <w:r>
        <w:t>If NO, dispose as clinical waste.</w:t>
      </w:r>
    </w:p>
    <w:p w14:paraId="1C0B4770" w14:textId="77777777" w:rsidR="00833AEC" w:rsidRDefault="00833AEC" w:rsidP="00833AEC">
      <w:pPr>
        <w:pStyle w:val="Heading2"/>
      </w:pPr>
      <w:bookmarkStart w:id="14" w:name="_Toc32420456"/>
      <w:bookmarkStart w:id="15" w:name="_Toc32505167"/>
      <w:r>
        <w:t>CAPS-BBI check</w:t>
      </w:r>
      <w:bookmarkEnd w:id="14"/>
      <w:bookmarkEnd w:id="15"/>
    </w:p>
    <w:p w14:paraId="77C041C4" w14:textId="77777777" w:rsidR="00833AEC" w:rsidRDefault="00833AEC" w:rsidP="00833AEC">
      <w:pPr>
        <w:pStyle w:val="DHHSbody"/>
      </w:pPr>
      <w:r>
        <w:t>Do the CAPS-BBI check.</w:t>
      </w:r>
    </w:p>
    <w:p w14:paraId="25A7F13E" w14:textId="77777777" w:rsidR="00833AEC" w:rsidRDefault="00833AEC" w:rsidP="00833AEC">
      <w:pPr>
        <w:pStyle w:val="DHHSbody"/>
      </w:pPr>
      <w:r>
        <w:t>If the item is/contains:</w:t>
      </w:r>
    </w:p>
    <w:p w14:paraId="36DEA6E0" w14:textId="77777777" w:rsidR="00833AEC" w:rsidRDefault="00833AEC" w:rsidP="00833AEC">
      <w:pPr>
        <w:pStyle w:val="DHHSbullet1"/>
      </w:pPr>
      <w:r w:rsidRPr="00553301">
        <w:rPr>
          <w:b/>
          <w:bCs/>
        </w:rPr>
        <w:t>C</w:t>
      </w:r>
      <w:r>
        <w:t>ytotoxic</w:t>
      </w:r>
    </w:p>
    <w:p w14:paraId="16B4A091" w14:textId="77777777" w:rsidR="00833AEC" w:rsidRDefault="00833AEC" w:rsidP="00833AEC">
      <w:pPr>
        <w:pStyle w:val="DHHSbullet1"/>
      </w:pPr>
      <w:r w:rsidRPr="00553301">
        <w:rPr>
          <w:b/>
          <w:bCs/>
        </w:rPr>
        <w:t>A</w:t>
      </w:r>
      <w:r>
        <w:t>natomical</w:t>
      </w:r>
    </w:p>
    <w:p w14:paraId="2A808F34" w14:textId="77777777" w:rsidR="00833AEC" w:rsidRDefault="00833AEC" w:rsidP="00833AEC">
      <w:pPr>
        <w:pStyle w:val="DHHSbullet1"/>
      </w:pPr>
      <w:r w:rsidRPr="00553301">
        <w:rPr>
          <w:b/>
          <w:bCs/>
        </w:rPr>
        <w:t>P</w:t>
      </w:r>
      <w:r>
        <w:t>harmaceutical</w:t>
      </w:r>
    </w:p>
    <w:p w14:paraId="21027E08" w14:textId="77777777" w:rsidR="00833AEC" w:rsidRDefault="00833AEC" w:rsidP="00833AEC">
      <w:pPr>
        <w:pStyle w:val="DHHSbullet1"/>
      </w:pPr>
      <w:r w:rsidRPr="001B7BC0">
        <w:rPr>
          <w:b/>
          <w:bCs/>
        </w:rPr>
        <w:t>S</w:t>
      </w:r>
      <w:r>
        <w:t>harp</w:t>
      </w:r>
    </w:p>
    <w:p w14:paraId="77A9BEF6" w14:textId="77777777" w:rsidR="00833AEC" w:rsidRDefault="00833AEC" w:rsidP="00833AEC">
      <w:pPr>
        <w:pStyle w:val="DHHSbullet1"/>
      </w:pPr>
      <w:r w:rsidRPr="001B7BC0">
        <w:rPr>
          <w:b/>
          <w:bCs/>
        </w:rPr>
        <w:t>B</w:t>
      </w:r>
      <w:r>
        <w:t>lood</w:t>
      </w:r>
    </w:p>
    <w:p w14:paraId="460FDD33" w14:textId="77777777" w:rsidR="00833AEC" w:rsidRDefault="00833AEC" w:rsidP="00833AEC">
      <w:pPr>
        <w:pStyle w:val="DHHSbullet1"/>
      </w:pPr>
      <w:r w:rsidRPr="001B7BC0">
        <w:rPr>
          <w:b/>
          <w:bCs/>
        </w:rPr>
        <w:t>B</w:t>
      </w:r>
      <w:r>
        <w:t>ody fluid</w:t>
      </w:r>
    </w:p>
    <w:p w14:paraId="69A5D4DA" w14:textId="77777777" w:rsidR="00833AEC" w:rsidRDefault="00833AEC" w:rsidP="00833AEC">
      <w:pPr>
        <w:pStyle w:val="DHHSbullet1"/>
      </w:pPr>
      <w:r w:rsidRPr="001B7BC0">
        <w:rPr>
          <w:b/>
          <w:bCs/>
        </w:rPr>
        <w:t>I</w:t>
      </w:r>
      <w:r>
        <w:t>nfectious</w:t>
      </w:r>
    </w:p>
    <w:p w14:paraId="19E39B8B" w14:textId="77777777" w:rsidR="00833AEC" w:rsidRPr="00553301" w:rsidRDefault="00833AEC" w:rsidP="00833AEC">
      <w:pPr>
        <w:pStyle w:val="DHHSbody"/>
      </w:pPr>
      <w:r>
        <w:t>it must go into a cytotoxic, anatomical, pharmaceutical, sharps or clinical waste bin.</w:t>
      </w:r>
    </w:p>
    <w:p w14:paraId="4BD2EFFF" w14:textId="77777777" w:rsidR="00833AEC" w:rsidRPr="0022278A" w:rsidRDefault="00833AEC" w:rsidP="0022278A">
      <w:pPr>
        <w:pStyle w:val="DHHSbody"/>
      </w:pPr>
      <w:r w:rsidRPr="0022278A">
        <w:br w:type="page"/>
      </w:r>
    </w:p>
    <w:p w14:paraId="764DF4EE" w14:textId="77777777" w:rsidR="00833AEC" w:rsidRDefault="00833AEC" w:rsidP="00833AEC">
      <w:pPr>
        <w:pStyle w:val="Heading1"/>
        <w:spacing w:before="76" w:line="240" w:lineRule="auto"/>
        <w:rPr>
          <w:color w:val="0074BC"/>
        </w:rPr>
      </w:pPr>
      <w:bookmarkStart w:id="16" w:name="_Toc32420457"/>
      <w:bookmarkStart w:id="17" w:name="_Toc32505168"/>
      <w:r>
        <w:rPr>
          <w:color w:val="0074BC"/>
        </w:rPr>
        <w:lastRenderedPageBreak/>
        <w:t>Clinical waste streams</w:t>
      </w:r>
      <w:bookmarkEnd w:id="16"/>
      <w:bookmarkEnd w:id="17"/>
    </w:p>
    <w:p w14:paraId="27BA52DC" w14:textId="77777777" w:rsidR="00833AEC" w:rsidRPr="00D43954" w:rsidRDefault="00833AEC" w:rsidP="00833AEC">
      <w:pPr>
        <w:pStyle w:val="DHHSbody"/>
      </w:pPr>
      <w:bookmarkStart w:id="18" w:name="_Hlk31983254"/>
      <w:r w:rsidRPr="00D43954">
        <w:rPr>
          <w:b/>
          <w:bCs/>
        </w:rPr>
        <w:t>Note:</w:t>
      </w:r>
      <w:r w:rsidRPr="00D43954">
        <w:t xml:space="preserve"> All radioactive waste must be disposed of in accordance with the department’s Disposal of radioactive material guidance</w:t>
      </w:r>
    </w:p>
    <w:p w14:paraId="32099A43" w14:textId="77777777" w:rsidR="00833AEC" w:rsidRPr="00D43954" w:rsidRDefault="00833AEC" w:rsidP="00833AEC">
      <w:pPr>
        <w:pStyle w:val="Heading2"/>
      </w:pPr>
      <w:bookmarkStart w:id="19" w:name="_Toc32420458"/>
      <w:bookmarkStart w:id="20" w:name="_Toc32505169"/>
      <w:r w:rsidRPr="00D43954">
        <w:t xml:space="preserve">Treatment: </w:t>
      </w:r>
      <w:r>
        <w:t>i</w:t>
      </w:r>
      <w:r w:rsidRPr="00D43954">
        <w:t>ncineration</w:t>
      </w:r>
      <w:bookmarkEnd w:id="19"/>
      <w:bookmarkEnd w:id="20"/>
    </w:p>
    <w:p w14:paraId="356FDC19" w14:textId="77777777" w:rsidR="00833AEC" w:rsidRPr="00D43954" w:rsidRDefault="00833AEC" w:rsidP="00833AEC">
      <w:pPr>
        <w:pStyle w:val="DHHSbody"/>
      </w:pPr>
      <w:r w:rsidRPr="00D43954">
        <w:t>Pharmaceutical, anatomical and cytotoxic waste is incinerated between 900 and 1200° C, denaturing pharmaceutical substances and turning the waste into ash and gases.</w:t>
      </w:r>
      <w:bookmarkEnd w:id="18"/>
    </w:p>
    <w:p w14:paraId="1F5B8A2B" w14:textId="77777777" w:rsidR="00833AEC" w:rsidRPr="00D43954" w:rsidRDefault="00833AEC" w:rsidP="00833AEC">
      <w:pPr>
        <w:pStyle w:val="Heading3"/>
      </w:pPr>
      <w:bookmarkStart w:id="21" w:name="_Hlk31983259"/>
      <w:r w:rsidRPr="00D43954">
        <w:t>Cytotoxic waste</w:t>
      </w:r>
    </w:p>
    <w:p w14:paraId="15D05A5B" w14:textId="77777777" w:rsidR="00833AEC" w:rsidRPr="00D43954" w:rsidRDefault="00833AEC" w:rsidP="00833AEC">
      <w:pPr>
        <w:pStyle w:val="DHHSbody"/>
      </w:pPr>
      <w:r w:rsidRPr="00D43954">
        <w:t>Material that is, or may be, contaminated with a cytotoxic drug during the preparation, transport or administration of cytotoxic therapy.</w:t>
      </w:r>
      <w:bookmarkEnd w:id="21"/>
    </w:p>
    <w:p w14:paraId="75271A84" w14:textId="77777777" w:rsidR="00833AEC" w:rsidRPr="00D43954" w:rsidRDefault="00833AEC" w:rsidP="00833AEC">
      <w:pPr>
        <w:pStyle w:val="DHHSbody"/>
      </w:pPr>
      <w:r w:rsidRPr="00D43954">
        <w:t>Receptacle</w:t>
      </w:r>
      <w:r>
        <w:t xml:space="preserve">: </w:t>
      </w:r>
      <w:r w:rsidRPr="00D43954">
        <w:t>Purple, puncture- resistant, leak-proof container depicting symbol of a cell undergoing telophase</w:t>
      </w:r>
    </w:p>
    <w:p w14:paraId="78312266" w14:textId="77777777" w:rsidR="00833AEC" w:rsidRPr="00D43954" w:rsidRDefault="00833AEC" w:rsidP="00833AEC">
      <w:pPr>
        <w:pStyle w:val="Heading3"/>
      </w:pPr>
      <w:bookmarkStart w:id="22" w:name="_Hlk31983268"/>
      <w:r w:rsidRPr="00D43954">
        <w:t>Anatomical waste</w:t>
      </w:r>
    </w:p>
    <w:p w14:paraId="1001AB5A" w14:textId="77777777" w:rsidR="00833AEC" w:rsidRPr="00D43954" w:rsidRDefault="00833AEC" w:rsidP="00833AEC">
      <w:pPr>
        <w:pStyle w:val="DHHSbody"/>
      </w:pPr>
      <w:r w:rsidRPr="00D43954">
        <w:t>Anatomical waste is human tissue and includes:</w:t>
      </w:r>
    </w:p>
    <w:p w14:paraId="2B175EC2" w14:textId="77777777" w:rsidR="00833AEC" w:rsidRPr="00D43954" w:rsidRDefault="00833AEC" w:rsidP="00833AEC">
      <w:pPr>
        <w:pStyle w:val="DHHSbullet1"/>
      </w:pPr>
      <w:r w:rsidRPr="00D43954">
        <w:t>pathology and biopsy specimens</w:t>
      </w:r>
    </w:p>
    <w:p w14:paraId="3A9B01C2" w14:textId="77777777" w:rsidR="00833AEC" w:rsidRPr="00D43954" w:rsidRDefault="00833AEC" w:rsidP="00833AEC">
      <w:pPr>
        <w:pStyle w:val="DHHSbullet1"/>
      </w:pPr>
      <w:r w:rsidRPr="00D43954">
        <w:t>tissue taken during surgery or autopsy</w:t>
      </w:r>
    </w:p>
    <w:p w14:paraId="679F3BAD" w14:textId="77777777" w:rsidR="00833AEC" w:rsidRPr="00D43954" w:rsidRDefault="00833AEC" w:rsidP="00833AEC">
      <w:pPr>
        <w:pStyle w:val="DHHSbullet1"/>
      </w:pPr>
      <w:r w:rsidRPr="00D43954">
        <w:t>extracted teeth contaminated with blood</w:t>
      </w:r>
    </w:p>
    <w:p w14:paraId="62C151A2" w14:textId="77777777" w:rsidR="00833AEC" w:rsidRPr="00D43954" w:rsidRDefault="00833AEC" w:rsidP="00833AEC">
      <w:pPr>
        <w:pStyle w:val="DHHSbullet1"/>
      </w:pPr>
      <w:r w:rsidRPr="00D43954">
        <w:t>body organs, limbs or cadavers/bodies</w:t>
      </w:r>
    </w:p>
    <w:p w14:paraId="2D65A25F" w14:textId="77777777" w:rsidR="00833AEC" w:rsidRPr="00D43954" w:rsidRDefault="00833AEC" w:rsidP="00833AEC">
      <w:pPr>
        <w:pStyle w:val="DHHSbullet1"/>
      </w:pPr>
      <w:r w:rsidRPr="00D43954">
        <w:t>fetuses not requiring burial or fetuses for burial in an appropriate method</w:t>
      </w:r>
    </w:p>
    <w:p w14:paraId="2F12ED48" w14:textId="77777777" w:rsidR="00833AEC" w:rsidRPr="00D43954" w:rsidRDefault="00833AEC" w:rsidP="00833AEC">
      <w:pPr>
        <w:pStyle w:val="DHHSbullet1"/>
      </w:pPr>
      <w:r w:rsidRPr="00D43954">
        <w:t>placentae, including if requested for home retention.</w:t>
      </w:r>
    </w:p>
    <w:p w14:paraId="0425A3AC" w14:textId="77777777" w:rsidR="00833AEC" w:rsidRPr="00D43954" w:rsidRDefault="00833AEC" w:rsidP="00833AEC">
      <w:pPr>
        <w:pStyle w:val="DHHSbodyafterbullets"/>
      </w:pPr>
      <w:r w:rsidRPr="00D43954">
        <w:t>There are religious considerations and personal wishes in relation to items such as placentae and fetuses. Where patients wish to make their own arrangements for these items, the hospital should obtain written advice from the patient accepting responsibility for them.</w:t>
      </w:r>
    </w:p>
    <w:p w14:paraId="3304C006" w14:textId="77777777" w:rsidR="00833AEC" w:rsidRPr="00D43954" w:rsidRDefault="00833AEC" w:rsidP="00833AEC">
      <w:pPr>
        <w:pStyle w:val="DHHSbody"/>
      </w:pPr>
      <w:r w:rsidRPr="00D43954">
        <w:t>Receptacle: Yellow bin with orange lid and depicting the biohazard symbol in black</w:t>
      </w:r>
    </w:p>
    <w:bookmarkEnd w:id="22"/>
    <w:p w14:paraId="5847650B" w14:textId="77777777" w:rsidR="00833AEC" w:rsidRPr="00D43954" w:rsidRDefault="00833AEC" w:rsidP="00833AEC">
      <w:pPr>
        <w:pStyle w:val="Heading3"/>
      </w:pPr>
      <w:r w:rsidRPr="00D43954">
        <w:t>Pharmaceutical waste</w:t>
      </w:r>
    </w:p>
    <w:p w14:paraId="45FC400C" w14:textId="77777777" w:rsidR="00833AEC" w:rsidRPr="00D43954" w:rsidRDefault="00833AEC" w:rsidP="00833AEC">
      <w:pPr>
        <w:pStyle w:val="DHHSbody"/>
      </w:pPr>
      <w:r w:rsidRPr="00D43954">
        <w:t>Pharmaceutical substances and containers include:</w:t>
      </w:r>
    </w:p>
    <w:p w14:paraId="7931D928" w14:textId="77777777" w:rsidR="00833AEC" w:rsidRPr="00D43954" w:rsidRDefault="00833AEC" w:rsidP="00833AEC">
      <w:pPr>
        <w:pStyle w:val="DHHSbullet1"/>
      </w:pPr>
      <w:r w:rsidRPr="00D43954">
        <w:t>pharmaceuticals from incomplete infusions</w:t>
      </w:r>
    </w:p>
    <w:p w14:paraId="0864DAB5" w14:textId="77777777" w:rsidR="00833AEC" w:rsidRPr="00D43954" w:rsidRDefault="00833AEC" w:rsidP="00833AEC">
      <w:pPr>
        <w:pStyle w:val="DHHSbullet1"/>
      </w:pPr>
      <w:r w:rsidRPr="00D43954">
        <w:t>any Schedule 8 drugs of addiction, including residue or trace</w:t>
      </w:r>
    </w:p>
    <w:p w14:paraId="2026F8F2" w14:textId="77777777" w:rsidR="00833AEC" w:rsidRPr="00D43954" w:rsidRDefault="00833AEC" w:rsidP="00833AEC">
      <w:pPr>
        <w:pStyle w:val="DHHSbullet1"/>
      </w:pPr>
      <w:r w:rsidRPr="00D43954">
        <w:t>patients’ unused pharmaceuticals</w:t>
      </w:r>
    </w:p>
    <w:p w14:paraId="12290F51" w14:textId="77777777" w:rsidR="00833AEC" w:rsidRPr="00D43954" w:rsidRDefault="00833AEC" w:rsidP="00833AEC">
      <w:pPr>
        <w:pStyle w:val="DHHSbullet1"/>
      </w:pPr>
      <w:r w:rsidRPr="00D43954">
        <w:t>pharmaceuticals that are unwanted or out of date</w:t>
      </w:r>
    </w:p>
    <w:p w14:paraId="4C3D6121" w14:textId="77777777" w:rsidR="00833AEC" w:rsidRPr="00D43954" w:rsidRDefault="00833AEC" w:rsidP="00833AEC">
      <w:pPr>
        <w:pStyle w:val="DHHSbullet1"/>
      </w:pPr>
      <w:r w:rsidRPr="00D43954">
        <w:t>sharps, packages, containers and equipment containing extractable volumes of pharmaceutical substances</w:t>
      </w:r>
    </w:p>
    <w:p w14:paraId="69C40C7F" w14:textId="77777777" w:rsidR="00833AEC" w:rsidRPr="00D43954" w:rsidRDefault="00833AEC" w:rsidP="00833AEC">
      <w:pPr>
        <w:pStyle w:val="DHHSbullet1"/>
      </w:pPr>
      <w:r w:rsidRPr="00D43954">
        <w:t>pharmaceutical substances rejected by the manufacturer due to quality control considerations.</w:t>
      </w:r>
    </w:p>
    <w:p w14:paraId="2120585A" w14:textId="77777777" w:rsidR="00833AEC" w:rsidRPr="00D43954" w:rsidRDefault="00833AEC" w:rsidP="00833AEC">
      <w:pPr>
        <w:pStyle w:val="DHHSbodyafterbullets"/>
      </w:pPr>
      <w:r w:rsidRPr="00D43954">
        <w:t>This excludes:</w:t>
      </w:r>
    </w:p>
    <w:p w14:paraId="70EA43F7" w14:textId="77777777" w:rsidR="00833AEC" w:rsidRPr="00D43954" w:rsidRDefault="00833AEC" w:rsidP="00833AEC">
      <w:pPr>
        <w:pStyle w:val="DHHSbullet1"/>
      </w:pPr>
      <w:r w:rsidRPr="00D43954">
        <w:t>materials where all extractable contents have been removed (other than cytotoxics or Schedule 8 drugs of addiction), such as empty pill bottles</w:t>
      </w:r>
    </w:p>
    <w:p w14:paraId="663E61AD" w14:textId="77777777" w:rsidR="00833AEC" w:rsidRDefault="00833AEC" w:rsidP="00833AEC">
      <w:pPr>
        <w:pStyle w:val="DHHSbullet1"/>
      </w:pPr>
      <w:r w:rsidRPr="00D43954">
        <w:t>saline, sugar, nutrient solutions and associated packaging, containers and equipment.</w:t>
      </w:r>
    </w:p>
    <w:p w14:paraId="023608F0" w14:textId="23D048AD" w:rsidR="00833AEC" w:rsidRDefault="00833AEC" w:rsidP="00833AEC">
      <w:pPr>
        <w:pStyle w:val="DHHSbodyafterbullets"/>
      </w:pPr>
      <w:r w:rsidRPr="00550660">
        <w:rPr>
          <w:b/>
          <w:bCs/>
        </w:rPr>
        <w:t>WARNING:</w:t>
      </w:r>
      <w:r w:rsidRPr="00D43954">
        <w:t xml:space="preserve"> Unless it is saline, sugar or a nutrient solution, pharmaceutical substances must not be flushed, poured down sinks or disposed of directly to the environment</w:t>
      </w:r>
    </w:p>
    <w:p w14:paraId="0880D883" w14:textId="2164D1A3" w:rsidR="004D01D1" w:rsidRPr="00D43954" w:rsidRDefault="004D01D1" w:rsidP="00833AEC">
      <w:pPr>
        <w:pStyle w:val="DHHSbodyafterbullets"/>
      </w:pPr>
      <w:r w:rsidRPr="004D01D1">
        <w:rPr>
          <w:b/>
          <w:bCs/>
        </w:rPr>
        <w:t>Note:</w:t>
      </w:r>
      <w:r>
        <w:t xml:space="preserve"> S</w:t>
      </w:r>
      <w:r w:rsidRPr="004D01D1">
        <w:t>chedule 8 drugs must be destroyed in accordance with the Drugs, Poisons and Controlled Substances Regulations 2017</w:t>
      </w:r>
    </w:p>
    <w:p w14:paraId="6E017F8E" w14:textId="77777777" w:rsidR="00833AEC" w:rsidRPr="00D43954" w:rsidRDefault="00833AEC" w:rsidP="00833AEC">
      <w:pPr>
        <w:pStyle w:val="DHHSbody"/>
      </w:pPr>
      <w:r w:rsidRPr="00D43954">
        <w:t>Receptacle</w:t>
      </w:r>
      <w:r>
        <w:t xml:space="preserve">: </w:t>
      </w:r>
      <w:r w:rsidRPr="00D43954">
        <w:t>Yellow container with orange lid and depicting biohazard symbol in black</w:t>
      </w:r>
    </w:p>
    <w:p w14:paraId="4A875669" w14:textId="77777777" w:rsidR="00833AEC" w:rsidRDefault="00833AEC" w:rsidP="00833AEC">
      <w:pPr>
        <w:pStyle w:val="Heading2"/>
      </w:pPr>
      <w:bookmarkStart w:id="23" w:name="_Toc32420459"/>
      <w:bookmarkStart w:id="24" w:name="_Toc32505170"/>
      <w:r>
        <w:rPr>
          <w:color w:val="0074BC"/>
        </w:rPr>
        <w:lastRenderedPageBreak/>
        <w:t>Treatment: s</w:t>
      </w:r>
      <w:r>
        <w:t>terilisation</w:t>
      </w:r>
      <w:bookmarkEnd w:id="23"/>
      <w:bookmarkEnd w:id="24"/>
    </w:p>
    <w:p w14:paraId="450AD33C" w14:textId="77777777" w:rsidR="00833AEC" w:rsidRPr="00D43954" w:rsidRDefault="00833AEC" w:rsidP="00833AEC">
      <w:pPr>
        <w:pStyle w:val="DHHSbody"/>
      </w:pPr>
      <w:r w:rsidRPr="00D43954">
        <w:t>Clinical and Sharps waste is sterilised using a shredding and chemical disinfection process. It is then sent to landfill.</w:t>
      </w:r>
    </w:p>
    <w:p w14:paraId="4B567D83" w14:textId="77777777" w:rsidR="00833AEC" w:rsidRPr="00D43954" w:rsidRDefault="00833AEC" w:rsidP="00833AEC">
      <w:pPr>
        <w:pStyle w:val="Heading3"/>
      </w:pPr>
      <w:r w:rsidRPr="00D43954">
        <w:t>Sharps waste</w:t>
      </w:r>
    </w:p>
    <w:p w14:paraId="5019E6D3" w14:textId="77777777" w:rsidR="00833AEC" w:rsidRPr="00D43954" w:rsidRDefault="00833AEC" w:rsidP="00833AEC">
      <w:pPr>
        <w:pStyle w:val="DHHSbody"/>
      </w:pPr>
      <w:r w:rsidRPr="00D43954">
        <w:t>Any item that is able to cut or penetrate the skin.</w:t>
      </w:r>
    </w:p>
    <w:p w14:paraId="0CB91D7F" w14:textId="77777777" w:rsidR="00833AEC" w:rsidRPr="00D43954" w:rsidRDefault="00833AEC" w:rsidP="00833AEC">
      <w:pPr>
        <w:pStyle w:val="DHHSbody"/>
      </w:pPr>
      <w:r w:rsidRPr="00D43954">
        <w:t>This includes, but is not limited to:</w:t>
      </w:r>
    </w:p>
    <w:p w14:paraId="34AD59BE" w14:textId="77777777" w:rsidR="00833AEC" w:rsidRPr="00D43954" w:rsidRDefault="00833AEC" w:rsidP="00833AEC">
      <w:pPr>
        <w:pStyle w:val="DHHSbullet1"/>
      </w:pPr>
      <w:r w:rsidRPr="00D43954">
        <w:t>syringes with attached needles</w:t>
      </w:r>
    </w:p>
    <w:p w14:paraId="7958A83C" w14:textId="77777777" w:rsidR="00833AEC" w:rsidRPr="00D43954" w:rsidRDefault="00833AEC" w:rsidP="00833AEC">
      <w:pPr>
        <w:pStyle w:val="DHHSbullet1"/>
      </w:pPr>
      <w:r w:rsidRPr="00D43954">
        <w:t>lancets</w:t>
      </w:r>
    </w:p>
    <w:p w14:paraId="593AFA4F" w14:textId="77777777" w:rsidR="00833AEC" w:rsidRPr="00D43954" w:rsidRDefault="00833AEC" w:rsidP="00833AEC">
      <w:pPr>
        <w:pStyle w:val="DHHSbullet1"/>
      </w:pPr>
      <w:r w:rsidRPr="00D43954">
        <w:t>scalpel blades</w:t>
      </w:r>
    </w:p>
    <w:p w14:paraId="46A193EC" w14:textId="77777777" w:rsidR="00833AEC" w:rsidRPr="00D43954" w:rsidRDefault="00833AEC" w:rsidP="00833AEC">
      <w:pPr>
        <w:pStyle w:val="DHHSbullet1"/>
      </w:pPr>
      <w:r w:rsidRPr="00D43954">
        <w:t>devices with retractable sharps</w:t>
      </w:r>
    </w:p>
    <w:p w14:paraId="3FB49BCD" w14:textId="77777777" w:rsidR="00833AEC" w:rsidRPr="00D43954" w:rsidRDefault="00833AEC" w:rsidP="00833AEC">
      <w:pPr>
        <w:pStyle w:val="DHHSbullet1"/>
      </w:pPr>
      <w:r w:rsidRPr="00D43954">
        <w:t>IV spikes</w:t>
      </w:r>
    </w:p>
    <w:p w14:paraId="0EC9E3DD" w14:textId="77777777" w:rsidR="00833AEC" w:rsidRPr="00D43954" w:rsidRDefault="00833AEC" w:rsidP="00833AEC">
      <w:pPr>
        <w:pStyle w:val="DHHSbodyafterbullets"/>
      </w:pPr>
      <w:r w:rsidRPr="00D43954">
        <w:t>The only exceptions to this are:</w:t>
      </w:r>
    </w:p>
    <w:p w14:paraId="72374756" w14:textId="77777777" w:rsidR="00833AEC" w:rsidRPr="00D43954" w:rsidRDefault="00833AEC" w:rsidP="00833AEC">
      <w:pPr>
        <w:pStyle w:val="DHHSnumberdigit"/>
        <w:numPr>
          <w:ilvl w:val="0"/>
          <w:numId w:val="23"/>
        </w:numPr>
      </w:pPr>
      <w:r w:rsidRPr="00D43954">
        <w:t>if a health service has an approved single use metal instrument recycling collection in place on the ward</w:t>
      </w:r>
    </w:p>
    <w:p w14:paraId="4DB894F8" w14:textId="77777777" w:rsidR="00833AEC" w:rsidRDefault="00833AEC" w:rsidP="00833AEC">
      <w:pPr>
        <w:pStyle w:val="DHHSnumberdigit"/>
      </w:pPr>
      <w:r w:rsidRPr="00D43954">
        <w:t>if the item is cytoxic or pharmaceutical waste, which take precedence over sharps waste disposal.</w:t>
      </w:r>
    </w:p>
    <w:p w14:paraId="3D37C922" w14:textId="77777777" w:rsidR="00833AEC" w:rsidRPr="00D43954" w:rsidRDefault="00833AEC" w:rsidP="00833AEC">
      <w:pPr>
        <w:pStyle w:val="DHHSbodyafterbullets"/>
      </w:pPr>
      <w:r w:rsidRPr="00D43954">
        <w:t>Receptacle</w:t>
      </w:r>
      <w:r>
        <w:t xml:space="preserve">: </w:t>
      </w:r>
      <w:r w:rsidRPr="00D43954">
        <w:t>Yellow container and lid depicting the biohazard symbol in black</w:t>
      </w:r>
    </w:p>
    <w:p w14:paraId="202BEB6E" w14:textId="77777777" w:rsidR="00833AEC" w:rsidRPr="00D43954" w:rsidRDefault="00833AEC" w:rsidP="00833AEC">
      <w:pPr>
        <w:pStyle w:val="Heading3"/>
      </w:pPr>
      <w:r w:rsidRPr="00D43954">
        <w:t>Clinical waste</w:t>
      </w:r>
    </w:p>
    <w:p w14:paraId="4FF398C7" w14:textId="77777777" w:rsidR="00833AEC" w:rsidRPr="00D43954" w:rsidRDefault="00833AEC" w:rsidP="00833AEC">
      <w:pPr>
        <w:pStyle w:val="DHHSbody"/>
      </w:pPr>
      <w:r w:rsidRPr="00D43954">
        <w:t>Any item:</w:t>
      </w:r>
    </w:p>
    <w:p w14:paraId="4F38DE83" w14:textId="77777777" w:rsidR="00833AEC" w:rsidRPr="00D43954" w:rsidRDefault="00833AEC" w:rsidP="00833AEC">
      <w:pPr>
        <w:pStyle w:val="DHHSnumberdigit"/>
        <w:numPr>
          <w:ilvl w:val="0"/>
          <w:numId w:val="24"/>
        </w:numPr>
      </w:pPr>
      <w:r w:rsidRPr="00D43954">
        <w:t>from a patient suspected, or known, to have a communicable disease</w:t>
      </w:r>
    </w:p>
    <w:p w14:paraId="53BD27B9" w14:textId="77777777" w:rsidR="00833AEC" w:rsidRDefault="00833AEC" w:rsidP="00833AEC">
      <w:pPr>
        <w:pStyle w:val="DHHSnumberdigit"/>
      </w:pPr>
      <w:r w:rsidRPr="00D43954">
        <w:t>on which you can see wet or dry blood</w:t>
      </w:r>
    </w:p>
    <w:p w14:paraId="1AA9BFC6" w14:textId="77777777" w:rsidR="00833AEC" w:rsidRPr="00D43954" w:rsidRDefault="00833AEC" w:rsidP="00833AEC">
      <w:pPr>
        <w:pStyle w:val="DHHSnumberdigit"/>
      </w:pPr>
      <w:r w:rsidRPr="00D43954">
        <w:t>containing body fluids (unless able to be flushed as per standard precautions).</w:t>
      </w:r>
    </w:p>
    <w:p w14:paraId="7D2EC10E" w14:textId="77777777" w:rsidR="00833AEC" w:rsidRPr="00D43954" w:rsidRDefault="00833AEC" w:rsidP="00833AEC">
      <w:pPr>
        <w:pStyle w:val="DHHSbody"/>
      </w:pPr>
      <w:r w:rsidRPr="00D43954">
        <w:t>Note: Faeces, urine, vomit, sputum and meconium are not body fluids</w:t>
      </w:r>
    </w:p>
    <w:p w14:paraId="05B123C9" w14:textId="77777777" w:rsidR="00833AEC" w:rsidRPr="00D43954" w:rsidRDefault="00833AEC" w:rsidP="00833AEC">
      <w:pPr>
        <w:pStyle w:val="DHHSbody"/>
      </w:pPr>
      <w:r>
        <w:t xml:space="preserve">Receptacle: </w:t>
      </w:r>
      <w:r w:rsidRPr="00D43954">
        <w:t>Yellow bag or container with yellow lid, depicting the biohazard symbol</w:t>
      </w:r>
      <w:r>
        <w:t xml:space="preserve"> </w:t>
      </w:r>
      <w:r w:rsidRPr="00D43954">
        <w:t>in black</w:t>
      </w:r>
    </w:p>
    <w:p w14:paraId="77B6867F" w14:textId="77777777" w:rsidR="00833AEC" w:rsidRDefault="00833AEC" w:rsidP="00833AEC">
      <w:pPr>
        <w:rPr>
          <w:rFonts w:ascii="Arial" w:eastAsia="Times" w:hAnsi="Arial"/>
        </w:rPr>
      </w:pPr>
      <w:r>
        <w:br w:type="page"/>
      </w:r>
    </w:p>
    <w:p w14:paraId="3052A3FC" w14:textId="77777777" w:rsidR="00833AEC" w:rsidRDefault="00833AEC" w:rsidP="00833AEC">
      <w:pPr>
        <w:pStyle w:val="Heading1"/>
      </w:pPr>
      <w:bookmarkStart w:id="25" w:name="_Toc32420460"/>
      <w:bookmarkStart w:id="26" w:name="_Toc32505171"/>
      <w:r w:rsidRPr="002B53FF">
        <w:lastRenderedPageBreak/>
        <w:t>Pharmaceutical container</w:t>
      </w:r>
      <w:bookmarkEnd w:id="25"/>
      <w:bookmarkEnd w:id="26"/>
      <w:r>
        <w:t xml:space="preserve"> </w:t>
      </w:r>
    </w:p>
    <w:p w14:paraId="6D69B91C" w14:textId="77777777" w:rsidR="00833AEC" w:rsidRPr="002B53FF" w:rsidRDefault="00833AEC" w:rsidP="00833AEC">
      <w:pPr>
        <w:pStyle w:val="DHHSbody"/>
      </w:pPr>
      <w:r w:rsidRPr="002B53FF">
        <w:t>(including medicine bottles, syringes, tubing, vial or ampule)</w:t>
      </w:r>
    </w:p>
    <w:p w14:paraId="0BEF5AB7" w14:textId="77777777" w:rsidR="00833AEC" w:rsidRDefault="00833AEC" w:rsidP="00833AEC">
      <w:pPr>
        <w:pStyle w:val="DHHSbody"/>
      </w:pPr>
      <w:r w:rsidRPr="00550660">
        <w:rPr>
          <w:b/>
          <w:bCs/>
        </w:rPr>
        <w:t>WARNING:</w:t>
      </w:r>
      <w:r w:rsidRPr="002B53FF">
        <w:t xml:space="preserve"> Unless it is saline, sugar or a nutrient solution pharmaceutical substances </w:t>
      </w:r>
      <w:r w:rsidRPr="006F16FC">
        <w:rPr>
          <w:b/>
          <w:bCs/>
        </w:rPr>
        <w:t>must not</w:t>
      </w:r>
      <w:r w:rsidRPr="002B53FF">
        <w:t xml:space="preserve"> be flushed, poured down sinks or disposed of directly to the environment.</w:t>
      </w:r>
    </w:p>
    <w:p w14:paraId="7877D58D" w14:textId="77777777" w:rsidR="00833AEC" w:rsidRPr="0022278A" w:rsidRDefault="00833AEC" w:rsidP="00833AEC">
      <w:pPr>
        <w:pStyle w:val="DHHSbody"/>
        <w:rPr>
          <w:b/>
          <w:bCs/>
        </w:rPr>
      </w:pPr>
      <w:r w:rsidRPr="0022278A">
        <w:rPr>
          <w:b/>
          <w:bCs/>
        </w:rPr>
        <w:t>Is the pharmaceutical cytotoxic?</w:t>
      </w:r>
    </w:p>
    <w:p w14:paraId="28486F78" w14:textId="77777777" w:rsidR="00833AEC" w:rsidRDefault="00833AEC" w:rsidP="00833AEC">
      <w:pPr>
        <w:pStyle w:val="DHHSbody"/>
      </w:pPr>
      <w:r>
        <w:t>If YES, dispose as cytotoxic waste [end]</w:t>
      </w:r>
    </w:p>
    <w:p w14:paraId="7DE92223" w14:textId="77777777" w:rsidR="00833AEC" w:rsidRDefault="00833AEC" w:rsidP="00833AEC">
      <w:pPr>
        <w:pStyle w:val="DHHSbody"/>
      </w:pPr>
      <w:r>
        <w:t>If NO, is the pharmaceutical a Schedule 8 drug?</w:t>
      </w:r>
    </w:p>
    <w:p w14:paraId="73CF86DB" w14:textId="7E2D0F42" w:rsidR="00833AEC" w:rsidRDefault="00833AEC" w:rsidP="00833AEC">
      <w:pPr>
        <w:pStyle w:val="DHHSbody"/>
      </w:pPr>
      <w:r>
        <w:t xml:space="preserve">If YES, dispose </w:t>
      </w:r>
      <w:r w:rsidR="004D01D1">
        <w:t>a</w:t>
      </w:r>
      <w:r>
        <w:t>s pharmaceutical waste</w:t>
      </w:r>
      <w:r w:rsidR="004D01D1">
        <w:t xml:space="preserve">. </w:t>
      </w:r>
      <w:r w:rsidR="004D01D1">
        <w:t>S</w:t>
      </w:r>
      <w:r w:rsidR="004D01D1" w:rsidRPr="004D01D1">
        <w:t>chedule 8 drugs must be destroyed in accordance with the Drugs, Poisons and Controlled Substances Regulations 2017</w:t>
      </w:r>
      <w:r>
        <w:t xml:space="preserve"> [end]</w:t>
      </w:r>
    </w:p>
    <w:p w14:paraId="7B75805B" w14:textId="77777777" w:rsidR="00833AEC" w:rsidRDefault="00833AEC" w:rsidP="00833AEC">
      <w:pPr>
        <w:pStyle w:val="DHHSbody"/>
      </w:pPr>
      <w:r>
        <w:t>If NO, is the pharmaceutical saline, sugar or a nutrient solution?</w:t>
      </w:r>
    </w:p>
    <w:p w14:paraId="65CA2C8D" w14:textId="77777777" w:rsidR="00833AEC" w:rsidRDefault="00833AEC" w:rsidP="00833AEC">
      <w:pPr>
        <w:pStyle w:val="DHHSbody"/>
      </w:pPr>
      <w:r>
        <w:t>If YES, flush contents. Only flush if safe to do so as per standard precautions. Container to recycling or landfill unless sharps waste (see page 12).</w:t>
      </w:r>
    </w:p>
    <w:p w14:paraId="181C030E" w14:textId="77777777" w:rsidR="00833AEC" w:rsidRDefault="00833AEC" w:rsidP="00833AEC">
      <w:pPr>
        <w:pStyle w:val="DHHSbody"/>
      </w:pPr>
      <w:r>
        <w:t>If NO, have all extractable contents been removed?</w:t>
      </w:r>
    </w:p>
    <w:p w14:paraId="05ADDDCC" w14:textId="77777777" w:rsidR="00833AEC" w:rsidRDefault="00833AEC" w:rsidP="00833AEC">
      <w:pPr>
        <w:pStyle w:val="DHHSbody"/>
      </w:pPr>
      <w:r>
        <w:t>If YES, recycling or landfill unless sharps waste (see page 12) [end]</w:t>
      </w:r>
    </w:p>
    <w:p w14:paraId="7A2286F0" w14:textId="77777777" w:rsidR="00833AEC" w:rsidRDefault="00833AEC" w:rsidP="00833AEC">
      <w:pPr>
        <w:pStyle w:val="DHHSbody"/>
      </w:pPr>
      <w:r>
        <w:t>If NO, pharmaceutical waste.</w:t>
      </w:r>
    </w:p>
    <w:p w14:paraId="199FAF5C" w14:textId="77777777" w:rsidR="00833AEC" w:rsidRDefault="00833AEC" w:rsidP="00833AEC">
      <w:pPr>
        <w:rPr>
          <w:rFonts w:ascii="Arial" w:hAnsi="Arial"/>
          <w:bCs/>
          <w:color w:val="0074BC" w:themeColor="text2"/>
          <w:sz w:val="44"/>
          <w:szCs w:val="44"/>
        </w:rPr>
      </w:pPr>
      <w:r>
        <w:br w:type="page"/>
      </w:r>
    </w:p>
    <w:p w14:paraId="1E170DCD" w14:textId="77777777" w:rsidR="00833AEC" w:rsidRDefault="00833AEC" w:rsidP="00833AEC">
      <w:pPr>
        <w:pStyle w:val="Heading1"/>
      </w:pPr>
      <w:bookmarkStart w:id="27" w:name="_Toc32420461"/>
      <w:bookmarkStart w:id="28" w:name="_Toc32505172"/>
      <w:r w:rsidRPr="002B53FF">
        <w:lastRenderedPageBreak/>
        <w:t xml:space="preserve">Pharmaceutical </w:t>
      </w:r>
      <w:r>
        <w:t>substance</w:t>
      </w:r>
      <w:bookmarkEnd w:id="27"/>
      <w:bookmarkEnd w:id="28"/>
    </w:p>
    <w:p w14:paraId="75793FD8" w14:textId="77777777" w:rsidR="00833AEC" w:rsidRDefault="00833AEC" w:rsidP="00833AEC">
      <w:pPr>
        <w:pStyle w:val="DHHSbody"/>
      </w:pPr>
      <w:r w:rsidRPr="00550660">
        <w:rPr>
          <w:b/>
          <w:bCs/>
        </w:rPr>
        <w:t>WARNING:</w:t>
      </w:r>
      <w:r w:rsidRPr="002B53FF">
        <w:t xml:space="preserve"> Unless it is saline, sugar or a nutrient solution pharmaceutical substances </w:t>
      </w:r>
      <w:r w:rsidRPr="006F16FC">
        <w:rPr>
          <w:b/>
          <w:bCs/>
        </w:rPr>
        <w:t>must not</w:t>
      </w:r>
      <w:r w:rsidRPr="002B53FF">
        <w:t xml:space="preserve"> be flushed, poured down sinks or disposed of directly to the environment.</w:t>
      </w:r>
    </w:p>
    <w:p w14:paraId="47934185" w14:textId="77777777" w:rsidR="00833AEC" w:rsidRDefault="00833AEC" w:rsidP="00833AEC">
      <w:pPr>
        <w:pStyle w:val="DHHSbody"/>
      </w:pPr>
      <w:r>
        <w:t>Is the substance saline, sugar or a nutrient solution?</w:t>
      </w:r>
    </w:p>
    <w:p w14:paraId="7745757D" w14:textId="77777777" w:rsidR="00833AEC" w:rsidRDefault="00833AEC" w:rsidP="00833AEC">
      <w:pPr>
        <w:pStyle w:val="DHHSbody"/>
      </w:pPr>
      <w:r>
        <w:t>If YES, flush. Only flush if safe to do so as per standard precautions[end]</w:t>
      </w:r>
    </w:p>
    <w:p w14:paraId="3EB92503" w14:textId="77777777" w:rsidR="00833AEC" w:rsidRDefault="00833AEC" w:rsidP="00833AEC">
      <w:pPr>
        <w:pStyle w:val="DHHSbody"/>
      </w:pPr>
      <w:r>
        <w:t>If NO, is the pharmaceutical cytotoxic?</w:t>
      </w:r>
    </w:p>
    <w:p w14:paraId="5FCDAD71" w14:textId="77777777" w:rsidR="00833AEC" w:rsidRDefault="00833AEC" w:rsidP="00833AEC">
      <w:pPr>
        <w:pStyle w:val="DHHSbody"/>
      </w:pPr>
      <w:r>
        <w:t>If YES, dispose as cytotoxic waste [end]</w:t>
      </w:r>
    </w:p>
    <w:p w14:paraId="7083C195" w14:textId="296D5AD2" w:rsidR="00833AEC" w:rsidRDefault="00833AEC" w:rsidP="00833AEC">
      <w:pPr>
        <w:pStyle w:val="DHHSbody"/>
      </w:pPr>
      <w:r>
        <w:t>If NO, dispose as pharmaceutical waste.</w:t>
      </w:r>
      <w:r w:rsidR="004D01D1">
        <w:t xml:space="preserve"> </w:t>
      </w:r>
      <w:r w:rsidR="004D01D1">
        <w:t>S</w:t>
      </w:r>
      <w:r w:rsidR="004D01D1" w:rsidRPr="004D01D1">
        <w:t>chedule 8 drugs must be destroyed in accordance with the Drugs, Poisons and Controlled Substances Regulations 2017</w:t>
      </w:r>
      <w:r w:rsidR="004D01D1">
        <w:t>.</w:t>
      </w:r>
    </w:p>
    <w:p w14:paraId="09A662CC" w14:textId="77777777" w:rsidR="00833AEC" w:rsidRDefault="00833AEC" w:rsidP="00833AEC">
      <w:pPr>
        <w:pStyle w:val="Heading2"/>
      </w:pPr>
      <w:bookmarkStart w:id="29" w:name="_Toc32420462"/>
      <w:bookmarkStart w:id="30" w:name="_Toc32505173"/>
      <w:r>
        <w:t>Case studies</w:t>
      </w:r>
      <w:bookmarkEnd w:id="29"/>
      <w:bookmarkEnd w:id="30"/>
    </w:p>
    <w:p w14:paraId="4F28F4B7" w14:textId="77777777" w:rsidR="00833AEC" w:rsidRPr="004F6C41" w:rsidRDefault="00833AEC" w:rsidP="00833AEC">
      <w:pPr>
        <w:pStyle w:val="Heading3"/>
      </w:pPr>
      <w:r>
        <w:t>Dave</w:t>
      </w:r>
    </w:p>
    <w:p w14:paraId="7140EAB1" w14:textId="77777777" w:rsidR="00833AEC" w:rsidRDefault="00833AEC" w:rsidP="00833AEC">
      <w:pPr>
        <w:pStyle w:val="DHHSbody"/>
      </w:pPr>
      <w:r w:rsidRPr="004F6C41">
        <w:t>Dave has a pill bottle containing tablets that are no longer needed. He disposes of the tablets in the pharmaceutical bin and the now empty pill bottle in the landfill or recycling bin.</w:t>
      </w:r>
    </w:p>
    <w:p w14:paraId="62787CD0" w14:textId="77777777" w:rsidR="00833AEC" w:rsidRDefault="00833AEC" w:rsidP="00833AEC">
      <w:pPr>
        <w:pStyle w:val="Heading3"/>
      </w:pPr>
      <w:r>
        <w:t>Robin</w:t>
      </w:r>
    </w:p>
    <w:p w14:paraId="435922C9" w14:textId="77777777" w:rsidR="00833AEC" w:rsidRDefault="00833AEC" w:rsidP="00833AEC">
      <w:pPr>
        <w:pStyle w:val="DHHSbody"/>
      </w:pPr>
      <w:r w:rsidRPr="004F6C41">
        <w:t>After administering medication to a patient Robin has only used half of the contents of an ampule. As not all of the contents have been extracted Robin places the ampule in the pharmaceutical waste bin.</w:t>
      </w:r>
    </w:p>
    <w:p w14:paraId="4D985016" w14:textId="77777777" w:rsidR="00833AEC" w:rsidRPr="004F6C41" w:rsidRDefault="00833AEC" w:rsidP="00833AEC">
      <w:pPr>
        <w:pStyle w:val="Heading3"/>
      </w:pPr>
      <w:r>
        <w:t>Jesse</w:t>
      </w:r>
    </w:p>
    <w:p w14:paraId="67453860" w14:textId="77777777" w:rsidR="00833AEC" w:rsidRDefault="00833AEC" w:rsidP="00833AEC">
      <w:pPr>
        <w:pStyle w:val="DHHSbody"/>
      </w:pPr>
      <w:r w:rsidRPr="004F6C41">
        <w:t>Jesse extracts all the contents of a glass vial when administering medication to a patient. These are a few droplets of pharmaceutical left in the vial. As the pharmaceutical is not a Schedule 8 drug or cytotoxic, and all extractable contents have been removed, Jesse disposes of the vial in the landfill bin.</w:t>
      </w:r>
    </w:p>
    <w:p w14:paraId="6590B9A7" w14:textId="77777777" w:rsidR="00833AEC" w:rsidRDefault="00833AEC" w:rsidP="00833AEC">
      <w:pPr>
        <w:rPr>
          <w:rFonts w:ascii="Arial" w:eastAsia="Times" w:hAnsi="Arial"/>
        </w:rPr>
      </w:pPr>
      <w:r>
        <w:br w:type="page"/>
      </w:r>
    </w:p>
    <w:p w14:paraId="7C2F2264" w14:textId="77777777" w:rsidR="00833AEC" w:rsidRDefault="00833AEC" w:rsidP="00833AEC">
      <w:pPr>
        <w:pStyle w:val="Heading1"/>
      </w:pPr>
      <w:bookmarkStart w:id="31" w:name="_Toc32420463"/>
      <w:bookmarkStart w:id="32" w:name="_Toc32505174"/>
      <w:r>
        <w:lastRenderedPageBreak/>
        <w:t>Sharps</w:t>
      </w:r>
      <w:bookmarkEnd w:id="31"/>
      <w:bookmarkEnd w:id="32"/>
    </w:p>
    <w:p w14:paraId="374757A8" w14:textId="77777777" w:rsidR="00833AEC" w:rsidRPr="0091566A" w:rsidRDefault="00833AEC" w:rsidP="00833AEC">
      <w:pPr>
        <w:pStyle w:val="DHHSbody"/>
      </w:pPr>
      <w:r w:rsidRPr="00550660">
        <w:rPr>
          <w:b/>
          <w:bCs/>
        </w:rPr>
        <w:t>Note:</w:t>
      </w:r>
      <w:r w:rsidRPr="0091566A">
        <w:t xml:space="preserve"> A syringe without a needle is not classified as a sharp.</w:t>
      </w:r>
    </w:p>
    <w:p w14:paraId="46FA8F4A" w14:textId="77777777" w:rsidR="00833AEC" w:rsidRPr="0091566A" w:rsidRDefault="00833AEC" w:rsidP="00833AEC">
      <w:pPr>
        <w:pStyle w:val="DHHSbody"/>
      </w:pPr>
      <w:r w:rsidRPr="0091566A">
        <w:t>A sharp is any item capable of cutting or penetrating the skin.</w:t>
      </w:r>
    </w:p>
    <w:p w14:paraId="1557D9C2" w14:textId="77777777" w:rsidR="00833AEC" w:rsidRDefault="00833AEC" w:rsidP="00833AEC">
      <w:pPr>
        <w:pStyle w:val="DHHSbody"/>
      </w:pPr>
      <w:r>
        <w:t>Can the item cut or penetrate the skin?</w:t>
      </w:r>
    </w:p>
    <w:p w14:paraId="6649B314" w14:textId="77777777" w:rsidR="00833AEC" w:rsidRDefault="00833AEC" w:rsidP="00833AEC">
      <w:pPr>
        <w:pStyle w:val="DHHSbody"/>
      </w:pPr>
      <w:r>
        <w:t>If YES, sharps, cytoxic waste or pharmaceutical waste (see page 10)</w:t>
      </w:r>
    </w:p>
    <w:p w14:paraId="3467EAAC" w14:textId="77777777" w:rsidR="00833AEC" w:rsidRDefault="00833AEC" w:rsidP="00833AEC">
      <w:pPr>
        <w:pStyle w:val="DHHSbody"/>
      </w:pPr>
      <w:r>
        <w:t>If NO, recycling or landfill.</w:t>
      </w:r>
    </w:p>
    <w:p w14:paraId="11A28B40" w14:textId="77777777" w:rsidR="00833AEC" w:rsidRDefault="00833AEC" w:rsidP="00833AEC">
      <w:pPr>
        <w:pStyle w:val="Heading2"/>
      </w:pPr>
      <w:bookmarkStart w:id="33" w:name="_Toc32420464"/>
      <w:bookmarkStart w:id="34" w:name="_Toc32505175"/>
      <w:r>
        <w:t>Case studies</w:t>
      </w:r>
      <w:bookmarkEnd w:id="33"/>
      <w:bookmarkEnd w:id="34"/>
    </w:p>
    <w:p w14:paraId="23C4C3A9" w14:textId="77777777" w:rsidR="00833AEC" w:rsidRDefault="00833AEC" w:rsidP="00833AEC">
      <w:pPr>
        <w:pStyle w:val="Heading3"/>
      </w:pPr>
      <w:r>
        <w:t>Jesse</w:t>
      </w:r>
    </w:p>
    <w:p w14:paraId="4E92E0B8" w14:textId="77777777" w:rsidR="00833AEC" w:rsidRDefault="00833AEC" w:rsidP="00833AEC">
      <w:pPr>
        <w:pStyle w:val="DHHSbody"/>
      </w:pPr>
      <w:r>
        <w:t xml:space="preserve">Jesse has an empty ampule after treating a patient. Due to the sharp edges on the </w:t>
      </w:r>
      <w:r>
        <w:rPr>
          <w:spacing w:val="-3"/>
        </w:rPr>
        <w:t xml:space="preserve">ampule </w:t>
      </w:r>
      <w:r>
        <w:t>Jesse knows that it could cut or penetrate skin and so he disposes of the ampule</w:t>
      </w:r>
      <w:r>
        <w:rPr>
          <w:spacing w:val="-1"/>
        </w:rPr>
        <w:t xml:space="preserve"> </w:t>
      </w:r>
      <w:r>
        <w:t>in the sharps bin.</w:t>
      </w:r>
    </w:p>
    <w:p w14:paraId="73C3C0C4" w14:textId="77777777" w:rsidR="00833AEC" w:rsidRDefault="00833AEC" w:rsidP="00833AEC">
      <w:pPr>
        <w:pStyle w:val="Heading3"/>
      </w:pPr>
      <w:r>
        <w:t>Sarah</w:t>
      </w:r>
    </w:p>
    <w:p w14:paraId="37C71BCF" w14:textId="77777777" w:rsidR="00833AEC" w:rsidRDefault="00833AEC" w:rsidP="00833AEC">
      <w:pPr>
        <w:pStyle w:val="DHHSbody"/>
      </w:pPr>
      <w:r>
        <w:t xml:space="preserve">Sarah administers medication through an IV </w:t>
      </w:r>
      <w:r>
        <w:rPr>
          <w:spacing w:val="-4"/>
        </w:rPr>
        <w:t xml:space="preserve">line. </w:t>
      </w:r>
      <w:r>
        <w:t xml:space="preserve">As the syringe does </w:t>
      </w:r>
      <w:r>
        <w:rPr>
          <w:b/>
        </w:rPr>
        <w:t xml:space="preserve">not </w:t>
      </w:r>
      <w:r>
        <w:t xml:space="preserve">have a needle on it, and is </w:t>
      </w:r>
      <w:r>
        <w:rPr>
          <w:spacing w:val="-3"/>
        </w:rPr>
        <w:t xml:space="preserve">empty, </w:t>
      </w:r>
      <w:r>
        <w:t>Sarah disposes of the syringe in the landfill bin.</w:t>
      </w:r>
    </w:p>
    <w:p w14:paraId="6C82B0BC" w14:textId="77777777" w:rsidR="00833AEC" w:rsidRDefault="00833AEC" w:rsidP="00833AEC">
      <w:pPr>
        <w:pStyle w:val="Heading3"/>
      </w:pPr>
      <w:r>
        <w:t>Carrie</w:t>
      </w:r>
    </w:p>
    <w:p w14:paraId="6CC302A6" w14:textId="77777777" w:rsidR="00833AEC" w:rsidRPr="0091566A" w:rsidRDefault="00833AEC" w:rsidP="00833AEC">
      <w:pPr>
        <w:pStyle w:val="DHHSbody"/>
      </w:pPr>
      <w:r>
        <w:t>Carrie has two empty glass vials after treating a patient. As the vials are not broken they cannot cut or penetrate the skin. Carrie disposes of the vials in the landfill bin.</w:t>
      </w:r>
    </w:p>
    <w:p w14:paraId="104978F1" w14:textId="77777777" w:rsidR="00833AEC" w:rsidRDefault="00833AEC" w:rsidP="00833AEC">
      <w:pPr>
        <w:pStyle w:val="DHHSbody"/>
      </w:pPr>
    </w:p>
    <w:p w14:paraId="6DB178E9" w14:textId="77777777" w:rsidR="00833AEC" w:rsidRDefault="00833AEC" w:rsidP="00833AEC">
      <w:pPr>
        <w:rPr>
          <w:rFonts w:ascii="Arial" w:eastAsia="Times" w:hAnsi="Arial"/>
        </w:rPr>
      </w:pPr>
      <w:r>
        <w:br w:type="page"/>
      </w:r>
    </w:p>
    <w:p w14:paraId="4C7867CC" w14:textId="77777777" w:rsidR="00833AEC" w:rsidRDefault="00833AEC" w:rsidP="00833AEC">
      <w:pPr>
        <w:pStyle w:val="Heading1"/>
      </w:pPr>
      <w:bookmarkStart w:id="35" w:name="_Toc32420465"/>
      <w:bookmarkStart w:id="36" w:name="_Toc32505176"/>
      <w:r>
        <w:lastRenderedPageBreak/>
        <w:t>Blood and blood products</w:t>
      </w:r>
      <w:bookmarkEnd w:id="35"/>
      <w:bookmarkEnd w:id="36"/>
    </w:p>
    <w:p w14:paraId="4232DF57" w14:textId="77777777" w:rsidR="00833AEC" w:rsidRDefault="00833AEC" w:rsidP="00833AEC">
      <w:pPr>
        <w:pStyle w:val="DHHSbody"/>
      </w:pPr>
      <w:r>
        <w:t>(including items contaminated with blood and blood products)</w:t>
      </w:r>
    </w:p>
    <w:p w14:paraId="34AEEB77" w14:textId="77777777" w:rsidR="00833AEC" w:rsidRDefault="00833AEC" w:rsidP="00833AEC">
      <w:pPr>
        <w:pStyle w:val="DHHSbody"/>
      </w:pPr>
      <w:r w:rsidRPr="0091566A">
        <w:t>Albumin, plasma, serum and so on</w:t>
      </w:r>
      <w:r>
        <w:t>.</w:t>
      </w:r>
    </w:p>
    <w:p w14:paraId="358C0C6C" w14:textId="77777777" w:rsidR="00833AEC" w:rsidRDefault="00833AEC" w:rsidP="00833AEC">
      <w:pPr>
        <w:pStyle w:val="DHHSbody"/>
      </w:pPr>
      <w:r>
        <w:t>Can you see blood or blood products on/in the item?</w:t>
      </w:r>
    </w:p>
    <w:p w14:paraId="58C55D0E" w14:textId="77777777" w:rsidR="00833AEC" w:rsidRDefault="00833AEC" w:rsidP="00833AEC">
      <w:pPr>
        <w:pStyle w:val="DHHSbody"/>
      </w:pPr>
      <w:r>
        <w:t>If YES, clinical waste [end]</w:t>
      </w:r>
    </w:p>
    <w:p w14:paraId="268FC96A" w14:textId="77777777" w:rsidR="00833AEC" w:rsidRDefault="00833AEC" w:rsidP="00833AEC">
      <w:pPr>
        <w:pStyle w:val="DHHSbody"/>
      </w:pPr>
      <w:r>
        <w:t>If NO, is there a known or suspected communicable disease?</w:t>
      </w:r>
    </w:p>
    <w:p w14:paraId="752EAD7D" w14:textId="77777777" w:rsidR="00833AEC" w:rsidRDefault="00833AEC" w:rsidP="00833AEC">
      <w:pPr>
        <w:pStyle w:val="DHHSbody"/>
      </w:pPr>
      <w:r>
        <w:t>If YES, clinical waste [end]</w:t>
      </w:r>
    </w:p>
    <w:p w14:paraId="1AC28747" w14:textId="77777777" w:rsidR="00833AEC" w:rsidRDefault="00833AEC" w:rsidP="00833AEC">
      <w:pPr>
        <w:pStyle w:val="DHHSbody"/>
      </w:pPr>
      <w:r>
        <w:t>If NO, recycling or landfill.</w:t>
      </w:r>
      <w:r w:rsidRPr="002B53FF">
        <w:t xml:space="preserve"> </w:t>
      </w:r>
    </w:p>
    <w:p w14:paraId="33CC73CE" w14:textId="77777777" w:rsidR="00833AEC" w:rsidRDefault="00833AEC" w:rsidP="00833AEC">
      <w:pPr>
        <w:pStyle w:val="Heading2"/>
      </w:pPr>
      <w:bookmarkStart w:id="37" w:name="_Toc32420466"/>
      <w:bookmarkStart w:id="38" w:name="_Toc32505177"/>
      <w:r>
        <w:t>Case studies</w:t>
      </w:r>
      <w:bookmarkEnd w:id="37"/>
      <w:bookmarkEnd w:id="38"/>
    </w:p>
    <w:p w14:paraId="4583647A" w14:textId="77777777" w:rsidR="00833AEC" w:rsidRDefault="00833AEC" w:rsidP="00833AEC">
      <w:pPr>
        <w:pStyle w:val="Heading3"/>
      </w:pPr>
      <w:r>
        <w:t>Jesse</w:t>
      </w:r>
    </w:p>
    <w:p w14:paraId="5CB27077" w14:textId="77777777" w:rsidR="00833AEC" w:rsidRDefault="00833AEC" w:rsidP="00833AEC">
      <w:pPr>
        <w:pStyle w:val="DHHSbody"/>
      </w:pPr>
      <w:r>
        <w:t>Jesse is cleaning up after surgery. A disposable kidney dish was brought into the theatre during set up but was not used during the procedure. Jesse places the kidney dish into the recycling (or landfill) bin because it is not clinical waste.</w:t>
      </w:r>
    </w:p>
    <w:p w14:paraId="44915E65" w14:textId="77777777" w:rsidR="00833AEC" w:rsidRDefault="00833AEC" w:rsidP="00833AEC">
      <w:pPr>
        <w:pStyle w:val="Heading3"/>
      </w:pPr>
      <w:r>
        <w:t>Dave</w:t>
      </w:r>
    </w:p>
    <w:p w14:paraId="17DF2861" w14:textId="77777777" w:rsidR="00833AEC" w:rsidRDefault="00833AEC" w:rsidP="00833AEC">
      <w:pPr>
        <w:pStyle w:val="DHHSbody"/>
      </w:pPr>
      <w:r>
        <w:t>A few drops of blood fall onto a piece of sterile wrap during a procedure. Dave places the sterile wrap into the clinical waste bin.</w:t>
      </w:r>
    </w:p>
    <w:p w14:paraId="671CC2FD" w14:textId="77777777" w:rsidR="00833AEC" w:rsidRDefault="00833AEC" w:rsidP="00833AEC">
      <w:pPr>
        <w:pStyle w:val="Heading3"/>
      </w:pPr>
      <w:r>
        <w:t>Robin</w:t>
      </w:r>
    </w:p>
    <w:p w14:paraId="55715520" w14:textId="77777777" w:rsidR="00833AEC" w:rsidRDefault="00833AEC" w:rsidP="00833AEC">
      <w:pPr>
        <w:pStyle w:val="DHHSbody"/>
      </w:pPr>
      <w:r>
        <w:t xml:space="preserve">Robin takes blood from a patient. Her gloves do not have any blood on them and so </w:t>
      </w:r>
      <w:r>
        <w:rPr>
          <w:spacing w:val="-5"/>
        </w:rPr>
        <w:t xml:space="preserve">Robin </w:t>
      </w:r>
      <w:r>
        <w:t>disposes of them in the landfill bin.</w:t>
      </w:r>
    </w:p>
    <w:p w14:paraId="77DB9812" w14:textId="77777777" w:rsidR="00833AEC" w:rsidRDefault="00833AEC" w:rsidP="00833AEC">
      <w:pPr>
        <w:rPr>
          <w:rFonts w:ascii="Arial" w:eastAsia="Times" w:hAnsi="Arial"/>
        </w:rPr>
      </w:pPr>
      <w:r>
        <w:br w:type="page"/>
      </w:r>
    </w:p>
    <w:p w14:paraId="3E65D683" w14:textId="77777777" w:rsidR="00833AEC" w:rsidRDefault="00833AEC" w:rsidP="00833AEC">
      <w:pPr>
        <w:pStyle w:val="Heading1"/>
      </w:pPr>
      <w:bookmarkStart w:id="39" w:name="_Toc32420467"/>
      <w:bookmarkStart w:id="40" w:name="_Toc32505178"/>
      <w:r>
        <w:lastRenderedPageBreak/>
        <w:t xml:space="preserve">Body fluids </w:t>
      </w:r>
      <w:r>
        <w:rPr>
          <w:spacing w:val="-4"/>
        </w:rPr>
        <w:t xml:space="preserve">and </w:t>
      </w:r>
      <w:r>
        <w:t xml:space="preserve">bulk body </w:t>
      </w:r>
      <w:r>
        <w:rPr>
          <w:spacing w:val="-6"/>
        </w:rPr>
        <w:t>fluids</w:t>
      </w:r>
      <w:bookmarkEnd w:id="39"/>
      <w:bookmarkEnd w:id="40"/>
    </w:p>
    <w:p w14:paraId="63E32FB0" w14:textId="77777777" w:rsidR="00833AEC" w:rsidRPr="00844C41" w:rsidRDefault="00833AEC" w:rsidP="00833AEC">
      <w:pPr>
        <w:pStyle w:val="DHHSbody"/>
      </w:pPr>
      <w:r w:rsidRPr="00844C41">
        <w:t>(including items contaminated with body fluids)</w:t>
      </w:r>
    </w:p>
    <w:p w14:paraId="1DA95373" w14:textId="77777777" w:rsidR="00833AEC" w:rsidRPr="003F0F9E" w:rsidRDefault="00833AEC" w:rsidP="00833AEC">
      <w:pPr>
        <w:pStyle w:val="DHHSbody"/>
      </w:pPr>
      <w:r w:rsidRPr="003F0F9E">
        <w:t>Note: Faeces, urine, vomit, sputum and meconium are not body fluids</w:t>
      </w:r>
    </w:p>
    <w:p w14:paraId="03F31475" w14:textId="77777777" w:rsidR="00833AEC" w:rsidRPr="003F0F9E" w:rsidRDefault="00833AEC" w:rsidP="00833AEC">
      <w:pPr>
        <w:pStyle w:val="DHHSbody"/>
      </w:pPr>
      <w:r w:rsidRPr="003F0F9E">
        <w:t>Including but not limited to: amniotic, cerebrospinal, synovial, pleural, pericardial and peritoneal fluids, as well as breast milk, semen and vaginal secretions.</w:t>
      </w:r>
    </w:p>
    <w:p w14:paraId="1F649064" w14:textId="77777777" w:rsidR="00833AEC" w:rsidRDefault="00833AEC" w:rsidP="00833AEC">
      <w:pPr>
        <w:pStyle w:val="DHHSbody"/>
      </w:pPr>
      <w:r>
        <w:t>Is the dedicated flush facility and personal protective equipment available?</w:t>
      </w:r>
    </w:p>
    <w:p w14:paraId="70041588" w14:textId="77777777" w:rsidR="00833AEC" w:rsidRDefault="00833AEC" w:rsidP="00833AEC">
      <w:pPr>
        <w:pStyle w:val="DHHSbody"/>
      </w:pPr>
      <w:r>
        <w:t xml:space="preserve">If YES, flush. Body fluids should only be flushed if </w:t>
      </w:r>
      <w:r>
        <w:rPr>
          <w:spacing w:val="-5"/>
        </w:rPr>
        <w:t xml:space="preserve">safe </w:t>
      </w:r>
      <w:r>
        <w:t>to do so as per standard</w:t>
      </w:r>
      <w:r>
        <w:rPr>
          <w:spacing w:val="11"/>
        </w:rPr>
        <w:t xml:space="preserve"> </w:t>
      </w:r>
      <w:r>
        <w:rPr>
          <w:spacing w:val="-3"/>
        </w:rPr>
        <w:t>precautions.</w:t>
      </w:r>
    </w:p>
    <w:p w14:paraId="67BAEE00" w14:textId="77777777" w:rsidR="00833AEC" w:rsidRPr="003F0F9E" w:rsidRDefault="00833AEC" w:rsidP="00833AEC">
      <w:pPr>
        <w:pStyle w:val="DHHSbody"/>
      </w:pPr>
      <w:r>
        <w:t>If NO, clinical waste.</w:t>
      </w:r>
    </w:p>
    <w:p w14:paraId="09496FE9" w14:textId="77777777" w:rsidR="00833AEC" w:rsidRDefault="00833AEC" w:rsidP="00833AEC">
      <w:pPr>
        <w:pStyle w:val="Heading2"/>
      </w:pPr>
      <w:bookmarkStart w:id="41" w:name="_Toc32420468"/>
      <w:bookmarkStart w:id="42" w:name="_Toc32505179"/>
      <w:r w:rsidRPr="003F0F9E">
        <w:t>Items from a patient with a communicable disease</w:t>
      </w:r>
      <w:r>
        <w:t xml:space="preserve"> </w:t>
      </w:r>
      <w:r w:rsidRPr="003F0F9E">
        <w:t>(known or suspected)</w:t>
      </w:r>
      <w:bookmarkEnd w:id="41"/>
      <w:bookmarkEnd w:id="42"/>
    </w:p>
    <w:p w14:paraId="6157056D" w14:textId="77777777" w:rsidR="00833AEC" w:rsidRDefault="00833AEC" w:rsidP="00833AEC">
      <w:pPr>
        <w:pStyle w:val="DHHSbody"/>
      </w:pPr>
      <w:r>
        <w:t>Is the patient know to have, or suspected of having, a communicable disease?</w:t>
      </w:r>
    </w:p>
    <w:p w14:paraId="627800E2" w14:textId="77777777" w:rsidR="00833AEC" w:rsidRDefault="00833AEC" w:rsidP="00833AEC">
      <w:pPr>
        <w:pStyle w:val="DHHSbody"/>
      </w:pPr>
      <w:r>
        <w:t>If YES, clinical waste [end]</w:t>
      </w:r>
    </w:p>
    <w:p w14:paraId="30C6D996" w14:textId="77777777" w:rsidR="00833AEC" w:rsidRDefault="00833AEC" w:rsidP="00833AEC">
      <w:pPr>
        <w:pStyle w:val="DHHSbody"/>
      </w:pPr>
      <w:r>
        <w:t>If NO, can you see blood or body fluids on the item? (See above for definition of body fluids).</w:t>
      </w:r>
    </w:p>
    <w:p w14:paraId="57961027" w14:textId="77777777" w:rsidR="00833AEC" w:rsidRDefault="00833AEC" w:rsidP="00833AEC">
      <w:pPr>
        <w:pStyle w:val="DHHSbody"/>
      </w:pPr>
      <w:r>
        <w:t>If YES, clinical waste [end]</w:t>
      </w:r>
    </w:p>
    <w:p w14:paraId="32F69F01" w14:textId="77777777" w:rsidR="00833AEC" w:rsidRDefault="00833AEC" w:rsidP="00833AEC">
      <w:pPr>
        <w:pStyle w:val="DHHSbody"/>
      </w:pPr>
      <w:r>
        <w:t>If NO, recycling or landfill.</w:t>
      </w:r>
    </w:p>
    <w:p w14:paraId="3A3EC65A" w14:textId="77777777" w:rsidR="00833AEC" w:rsidRDefault="00833AEC" w:rsidP="00833AEC">
      <w:pPr>
        <w:rPr>
          <w:rFonts w:ascii="Arial" w:hAnsi="Arial"/>
          <w:bCs/>
          <w:color w:val="0074BC" w:themeColor="text2"/>
          <w:sz w:val="44"/>
          <w:szCs w:val="44"/>
        </w:rPr>
      </w:pPr>
      <w:r>
        <w:br w:type="page"/>
      </w:r>
    </w:p>
    <w:p w14:paraId="154C2E22" w14:textId="77777777" w:rsidR="00833AEC" w:rsidRPr="00FB70AB" w:rsidRDefault="00833AEC" w:rsidP="00833AEC">
      <w:pPr>
        <w:pStyle w:val="Heading1"/>
      </w:pPr>
      <w:bookmarkStart w:id="43" w:name="_Toc32420469"/>
      <w:bookmarkStart w:id="44" w:name="_Toc32505180"/>
      <w:r w:rsidRPr="00FB70AB">
        <w:lastRenderedPageBreak/>
        <w:t>Faeces, urine, vomit, sputum or meconium</w:t>
      </w:r>
      <w:bookmarkEnd w:id="43"/>
      <w:bookmarkEnd w:id="44"/>
    </w:p>
    <w:p w14:paraId="2692941D" w14:textId="77777777" w:rsidR="00833AEC" w:rsidRDefault="00833AEC" w:rsidP="00833AEC">
      <w:pPr>
        <w:pStyle w:val="DHHSbody"/>
      </w:pPr>
      <w:r>
        <w:t>(including items contaminated with faeces, vomit, sputum and meconium)</w:t>
      </w:r>
    </w:p>
    <w:p w14:paraId="6048D421" w14:textId="77777777" w:rsidR="00833AEC" w:rsidRPr="001C1210" w:rsidRDefault="00833AEC" w:rsidP="00833AEC">
      <w:pPr>
        <w:pStyle w:val="DHHSbody"/>
      </w:pPr>
      <w:r w:rsidRPr="001C1210">
        <w:rPr>
          <w:b/>
          <w:bCs/>
        </w:rPr>
        <w:t>Note:</w:t>
      </w:r>
      <w:r w:rsidRPr="001C1210">
        <w:t xml:space="preserve"> Faeces, urine, vomit, sputum and meconium </w:t>
      </w:r>
      <w:r w:rsidRPr="001C1210">
        <w:rPr>
          <w:b/>
          <w:bCs/>
        </w:rPr>
        <w:t>are not</w:t>
      </w:r>
      <w:r w:rsidRPr="001C1210">
        <w:t xml:space="preserve"> body fluids.</w:t>
      </w:r>
    </w:p>
    <w:p w14:paraId="64FEEDA6" w14:textId="77777777" w:rsidR="00833AEC" w:rsidRDefault="00833AEC" w:rsidP="00833AEC">
      <w:pPr>
        <w:pStyle w:val="DHHSbody"/>
      </w:pPr>
      <w:r>
        <w:t>Can you see blood or bodily fluids?</w:t>
      </w:r>
    </w:p>
    <w:p w14:paraId="22EFD638" w14:textId="77777777" w:rsidR="00833AEC" w:rsidRDefault="00833AEC" w:rsidP="00833AEC">
      <w:pPr>
        <w:pStyle w:val="DHHSbody"/>
      </w:pPr>
      <w:r>
        <w:t>If YES, clinical waste [end]</w:t>
      </w:r>
    </w:p>
    <w:p w14:paraId="65F9DECF" w14:textId="77777777" w:rsidR="00833AEC" w:rsidRDefault="00833AEC" w:rsidP="00833AEC">
      <w:pPr>
        <w:pStyle w:val="DHHSbody"/>
      </w:pPr>
      <w:r>
        <w:t>If NO, is there a known or suspected communicable disease?</w:t>
      </w:r>
    </w:p>
    <w:p w14:paraId="3DE59B71" w14:textId="77777777" w:rsidR="00833AEC" w:rsidRDefault="00833AEC" w:rsidP="00833AEC">
      <w:pPr>
        <w:pStyle w:val="DHHSbody"/>
      </w:pPr>
      <w:r>
        <w:t>If YES, clinical waste [end]</w:t>
      </w:r>
    </w:p>
    <w:p w14:paraId="2C891BA3" w14:textId="77777777" w:rsidR="00833AEC" w:rsidRDefault="00833AEC" w:rsidP="00833AEC">
      <w:pPr>
        <w:pStyle w:val="DHHSbody"/>
      </w:pPr>
      <w:r w:rsidRPr="001C1210">
        <w:t>If NO, landfill or flush. Only flush if safe to do so as per standard precautions</w:t>
      </w:r>
      <w:r>
        <w:t>.</w:t>
      </w:r>
    </w:p>
    <w:p w14:paraId="22F61109" w14:textId="77777777" w:rsidR="00833AEC" w:rsidRDefault="00833AEC" w:rsidP="00833AEC">
      <w:pPr>
        <w:pStyle w:val="Heading2"/>
      </w:pPr>
      <w:bookmarkStart w:id="45" w:name="_Toc32420470"/>
      <w:bookmarkStart w:id="46" w:name="_Toc32505181"/>
      <w:r>
        <w:t>Case studies</w:t>
      </w:r>
      <w:bookmarkEnd w:id="45"/>
      <w:bookmarkEnd w:id="46"/>
    </w:p>
    <w:p w14:paraId="54F8516C" w14:textId="77777777" w:rsidR="00833AEC" w:rsidRDefault="00833AEC" w:rsidP="00833AEC">
      <w:pPr>
        <w:pStyle w:val="Heading3"/>
      </w:pPr>
      <w:r>
        <w:t>Jessica</w:t>
      </w:r>
    </w:p>
    <w:p w14:paraId="55587D31" w14:textId="77777777" w:rsidR="00833AEC" w:rsidRDefault="00833AEC" w:rsidP="00833AEC">
      <w:pPr>
        <w:pStyle w:val="DHHSbody"/>
      </w:pPr>
      <w:r>
        <w:t>After treating a patient Jessica needs to dispose of a bag of urine. Because there is no blood in the urine, and the patient is not suspected of having a communicable disease, Jessica flushes the urine and disposes of the bag in general waste.</w:t>
      </w:r>
    </w:p>
    <w:p w14:paraId="3EC79C4A" w14:textId="77777777" w:rsidR="00833AEC" w:rsidRDefault="00833AEC" w:rsidP="00833AEC">
      <w:pPr>
        <w:pStyle w:val="Heading3"/>
      </w:pPr>
      <w:r>
        <w:t>Sarah</w:t>
      </w:r>
    </w:p>
    <w:p w14:paraId="0AC39469" w14:textId="77777777" w:rsidR="00833AEC" w:rsidRDefault="00833AEC" w:rsidP="00833AEC">
      <w:pPr>
        <w:pStyle w:val="DHHSbody"/>
      </w:pPr>
      <w:r>
        <w:t>A patient in the emergency department vomits. The patient has a suspected communicable disease and so Sarah disposes of the towels used to clean up the vomit in the clinical waste bin.</w:t>
      </w:r>
    </w:p>
    <w:p w14:paraId="0C21253D" w14:textId="77777777" w:rsidR="00833AEC" w:rsidRPr="001C1210" w:rsidRDefault="00833AEC" w:rsidP="00833AEC">
      <w:pPr>
        <w:pStyle w:val="Heading3"/>
      </w:pPr>
      <w:r w:rsidRPr="001C1210">
        <w:t>Carrie</w:t>
      </w:r>
    </w:p>
    <w:p w14:paraId="6E9E4543" w14:textId="77777777" w:rsidR="00833AEC" w:rsidRPr="001C1210" w:rsidRDefault="00833AEC" w:rsidP="00833AEC">
      <w:pPr>
        <w:pStyle w:val="DHHSbody"/>
      </w:pPr>
      <w:r w:rsidRPr="001C1210">
        <w:t>Carrie works in an aged care facility. Carrie knows that, if the used continence aids do not have blood on them, they are disposed of in general waste bins.</w:t>
      </w:r>
    </w:p>
    <w:p w14:paraId="48D40CB5" w14:textId="77777777" w:rsidR="00833AEC" w:rsidRDefault="00833AEC" w:rsidP="00833AEC">
      <w:pPr>
        <w:rPr>
          <w:rFonts w:ascii="Arial" w:eastAsia="Times" w:hAnsi="Arial"/>
        </w:rPr>
      </w:pPr>
      <w:r>
        <w:br w:type="page"/>
      </w:r>
    </w:p>
    <w:p w14:paraId="09F84EDA" w14:textId="77777777" w:rsidR="00833AEC" w:rsidRDefault="00833AEC" w:rsidP="00833AEC">
      <w:pPr>
        <w:pStyle w:val="Heading1"/>
      </w:pPr>
      <w:bookmarkStart w:id="47" w:name="_Toc32420471"/>
      <w:bookmarkStart w:id="48" w:name="_Toc32505182"/>
      <w:r>
        <w:lastRenderedPageBreak/>
        <w:t>Other ways to minimise contamination</w:t>
      </w:r>
      <w:bookmarkEnd w:id="47"/>
      <w:bookmarkEnd w:id="48"/>
    </w:p>
    <w:p w14:paraId="15F5C588" w14:textId="77777777" w:rsidR="00833AEC" w:rsidRDefault="00833AEC" w:rsidP="00833AEC">
      <w:pPr>
        <w:pStyle w:val="DHHSbullet1"/>
      </w:pPr>
      <w:r>
        <w:t>Always place clinical waste bins next to general waste bins (and recycling bins if</w:t>
      </w:r>
      <w:r>
        <w:rPr>
          <w:spacing w:val="-8"/>
        </w:rPr>
        <w:t xml:space="preserve"> </w:t>
      </w:r>
      <w:r>
        <w:t>available).</w:t>
      </w:r>
    </w:p>
    <w:p w14:paraId="10A7BF10" w14:textId="77777777" w:rsidR="00833AEC" w:rsidRDefault="00833AEC" w:rsidP="00833AEC">
      <w:pPr>
        <w:pStyle w:val="DHHSbullet1"/>
      </w:pPr>
      <w:r>
        <w:t>If using clinical waste bags only open them when required, not when setting up for a</w:t>
      </w:r>
      <w:r>
        <w:rPr>
          <w:spacing w:val="-7"/>
        </w:rPr>
        <w:t xml:space="preserve"> </w:t>
      </w:r>
      <w:r>
        <w:t>procedure.</w:t>
      </w:r>
    </w:p>
    <w:p w14:paraId="0E597553" w14:textId="77777777" w:rsidR="00833AEC" w:rsidRDefault="00833AEC" w:rsidP="00833AEC">
      <w:pPr>
        <w:pStyle w:val="DHHSbullet1"/>
      </w:pPr>
      <w:r>
        <w:t>Use consistent bin colours for each waste stream (see pages 8 and</w:t>
      </w:r>
      <w:r>
        <w:rPr>
          <w:spacing w:val="-2"/>
        </w:rPr>
        <w:t xml:space="preserve"> </w:t>
      </w:r>
      <w:r>
        <w:rPr>
          <w:spacing w:val="-3"/>
        </w:rPr>
        <w:t>9).</w:t>
      </w:r>
    </w:p>
    <w:p w14:paraId="18F6A096" w14:textId="77777777" w:rsidR="00833AEC" w:rsidRDefault="00833AEC" w:rsidP="00833AEC">
      <w:pPr>
        <w:pStyle w:val="DHHSbullet1"/>
      </w:pPr>
      <w:r>
        <w:t>Ensure all bins have clear</w:t>
      </w:r>
      <w:r>
        <w:rPr>
          <w:spacing w:val="-1"/>
        </w:rPr>
        <w:t xml:space="preserve"> </w:t>
      </w:r>
      <w:r>
        <w:t>signage.</w:t>
      </w:r>
    </w:p>
    <w:p w14:paraId="487B4D25" w14:textId="77777777" w:rsidR="00833AEC" w:rsidRDefault="00833AEC" w:rsidP="00833AEC">
      <w:pPr>
        <w:pStyle w:val="DHHSbullet1"/>
      </w:pPr>
      <w:r>
        <w:t>Use CAPS-BBI when deciding whether an item is clinical waste (see page</w:t>
      </w:r>
      <w:r>
        <w:rPr>
          <w:spacing w:val="-2"/>
        </w:rPr>
        <w:t xml:space="preserve"> </w:t>
      </w:r>
      <w:r>
        <w:rPr>
          <w:spacing w:val="-3"/>
        </w:rPr>
        <w:t>6).</w:t>
      </w:r>
    </w:p>
    <w:p w14:paraId="3D4B5630" w14:textId="77777777" w:rsidR="00833AEC" w:rsidRDefault="00833AEC" w:rsidP="00833AEC">
      <w:pPr>
        <w:pStyle w:val="Heading2"/>
      </w:pPr>
      <w:bookmarkStart w:id="49" w:name="_Toc32420472"/>
      <w:bookmarkStart w:id="50" w:name="_Toc32505183"/>
      <w:r>
        <w:t>Contacts</w:t>
      </w:r>
      <w:bookmarkEnd w:id="49"/>
      <w:bookmarkEnd w:id="50"/>
    </w:p>
    <w:p w14:paraId="0E364FCC" w14:textId="77777777" w:rsidR="00833AEC" w:rsidRDefault="00833AEC" w:rsidP="00833AEC">
      <w:pPr>
        <w:pStyle w:val="DHHSbody"/>
      </w:pPr>
      <w:r>
        <w:t>For clarification regarding clinical and related waste talk to your nurse unit manager, infection control representative or environmental sustainability officer.</w:t>
      </w:r>
    </w:p>
    <w:p w14:paraId="54A00F36" w14:textId="4053D111" w:rsidR="00833AEC" w:rsidRDefault="00833AEC" w:rsidP="00833AEC">
      <w:pPr>
        <w:pStyle w:val="DHHSbody"/>
      </w:pPr>
      <w:r>
        <w:t xml:space="preserve">If they are not available, contact the </w:t>
      </w:r>
      <w:hyperlink r:id="rId17" w:history="1">
        <w:r w:rsidRPr="00706DD6">
          <w:rPr>
            <w:rStyle w:val="Hyperlink"/>
            <w:spacing w:val="-3"/>
          </w:rPr>
          <w:t xml:space="preserve">Sustainability </w:t>
        </w:r>
        <w:r w:rsidR="00706DD6" w:rsidRPr="00706DD6">
          <w:rPr>
            <w:rStyle w:val="Hyperlink"/>
            <w:spacing w:val="-5"/>
          </w:rPr>
          <w:t>t</w:t>
        </w:r>
        <w:r w:rsidRPr="00706DD6">
          <w:rPr>
            <w:rStyle w:val="Hyperlink"/>
            <w:spacing w:val="-5"/>
          </w:rPr>
          <w:t>eam</w:t>
        </w:r>
      </w:hyperlink>
      <w:r>
        <w:rPr>
          <w:spacing w:val="-5"/>
        </w:rPr>
        <w:t xml:space="preserve"> </w:t>
      </w:r>
      <w:r>
        <w:t xml:space="preserve">at the Department of Health and Human Services </w:t>
      </w:r>
      <w:r w:rsidR="00706DD6">
        <w:t>&lt;</w:t>
      </w:r>
      <w:r w:rsidRPr="00706DD6">
        <w:rPr>
          <w:bCs/>
        </w:rPr>
        <w:t>sustainability@dhhs.vic.gov.au</w:t>
      </w:r>
      <w:r w:rsidR="00706DD6">
        <w:t xml:space="preserve">&gt; </w:t>
      </w:r>
    </w:p>
    <w:p w14:paraId="1B747D1C" w14:textId="77777777" w:rsidR="00833AEC" w:rsidRPr="001C1210" w:rsidRDefault="00833AEC" w:rsidP="00833AEC">
      <w:pPr>
        <w:pStyle w:val="Heading2"/>
      </w:pPr>
      <w:bookmarkStart w:id="51" w:name="_Toc32420473"/>
      <w:bookmarkStart w:id="52" w:name="_Toc32505184"/>
      <w:r>
        <w:t>Reference documents</w:t>
      </w:r>
      <w:bookmarkEnd w:id="51"/>
      <w:bookmarkEnd w:id="52"/>
    </w:p>
    <w:p w14:paraId="5EF063A0" w14:textId="3D521812" w:rsidR="00833AEC" w:rsidRDefault="004D01D1" w:rsidP="00833AEC">
      <w:pPr>
        <w:pStyle w:val="DHHSbody"/>
      </w:pPr>
      <w:hyperlink r:id="rId18" w:history="1">
        <w:r w:rsidR="00833AEC" w:rsidRPr="00F84634">
          <w:rPr>
            <w:rStyle w:val="Hyperlink"/>
          </w:rPr>
          <w:t>Department of Health and Human Services (2017) Disposal of radioactive material</w:t>
        </w:r>
      </w:hyperlink>
      <w:r w:rsidR="00833AEC">
        <w:rPr>
          <w:color w:val="231F20"/>
        </w:rPr>
        <w:t xml:space="preserve"> </w:t>
      </w:r>
      <w:r w:rsidR="00F84634">
        <w:rPr>
          <w:color w:val="231F20"/>
        </w:rPr>
        <w:t>&lt;</w:t>
      </w:r>
      <w:r w:rsidR="00F84634" w:rsidRPr="00F84634">
        <w:t>https://www2.health.vic.gov.au/about/publications/policiesandguidelines/disposal-of-radioactive-material</w:t>
      </w:r>
      <w:r w:rsidR="00F84634">
        <w:t xml:space="preserve">&gt; </w:t>
      </w:r>
    </w:p>
    <w:p w14:paraId="472AE3C4" w14:textId="7F9C7F85" w:rsidR="00833AEC" w:rsidRDefault="004D01D1" w:rsidP="00833AEC">
      <w:pPr>
        <w:pStyle w:val="DHHSbody"/>
      </w:pPr>
      <w:hyperlink r:id="rId19" w:history="1">
        <w:r w:rsidR="00833AEC" w:rsidRPr="00F84634">
          <w:rPr>
            <w:rStyle w:val="Hyperlink"/>
          </w:rPr>
          <w:t>Department of Health and Human Services (2011) The blue book</w:t>
        </w:r>
      </w:hyperlink>
      <w:r w:rsidR="00833AEC">
        <w:rPr>
          <w:color w:val="231F20"/>
        </w:rPr>
        <w:t xml:space="preserve">. </w:t>
      </w:r>
      <w:r w:rsidR="00F84634">
        <w:rPr>
          <w:color w:val="231F20"/>
        </w:rPr>
        <w:t>&lt;</w:t>
      </w:r>
      <w:r w:rsidR="00F84634" w:rsidRPr="00F84634">
        <w:rPr>
          <w:color w:val="231F20"/>
          <w:spacing w:val="-3"/>
        </w:rPr>
        <w:t xml:space="preserve">https://www2.health.vic.gov.au/about/ </w:t>
      </w:r>
      <w:r w:rsidR="00F84634" w:rsidRPr="00F84634">
        <w:rPr>
          <w:color w:val="231F20"/>
        </w:rPr>
        <w:t>publications/researchandreports/The-blue-book</w:t>
      </w:r>
      <w:r w:rsidR="00F84634">
        <w:rPr>
          <w:color w:val="231F20"/>
        </w:rPr>
        <w:t xml:space="preserve">&gt; </w:t>
      </w:r>
    </w:p>
    <w:p w14:paraId="5370AC98" w14:textId="68172892" w:rsidR="00833AEC" w:rsidRDefault="004D01D1" w:rsidP="00833AEC">
      <w:pPr>
        <w:pStyle w:val="DHHSbody"/>
      </w:pPr>
      <w:hyperlink r:id="rId20" w:history="1">
        <w:r w:rsidR="00833AEC" w:rsidRPr="00F84634">
          <w:rPr>
            <w:rStyle w:val="Hyperlink"/>
          </w:rPr>
          <w:t>EPA (2009) IWRG612, Clinical and related waste- operational guidance.</w:t>
        </w:r>
      </w:hyperlink>
      <w:r w:rsidR="00833AEC">
        <w:rPr>
          <w:color w:val="231F20"/>
        </w:rPr>
        <w:t xml:space="preserve"> </w:t>
      </w:r>
      <w:r w:rsidR="00F84634">
        <w:rPr>
          <w:color w:val="231F20"/>
        </w:rPr>
        <w:t>&lt;</w:t>
      </w:r>
      <w:r w:rsidR="00F84634" w:rsidRPr="00F84634">
        <w:t>https://www.epa.vic.gov.au/about-epa/publications/iwrg612-1</w:t>
      </w:r>
      <w:r w:rsidR="00F84634">
        <w:t xml:space="preserve">&gt; </w:t>
      </w:r>
    </w:p>
    <w:p w14:paraId="249A2D9E" w14:textId="3C68AEE2" w:rsidR="00833AEC" w:rsidRDefault="004D01D1" w:rsidP="00833AEC">
      <w:pPr>
        <w:pStyle w:val="DHHSbody"/>
      </w:pPr>
      <w:hyperlink r:id="rId21" w:history="1">
        <w:r w:rsidR="00833AEC" w:rsidRPr="00F84634">
          <w:rPr>
            <w:rStyle w:val="Hyperlink"/>
          </w:rPr>
          <w:t>National Health and Medical Research Council (2019) Australian Guidelines</w:t>
        </w:r>
      </w:hyperlink>
      <w:r w:rsidR="00833AEC">
        <w:rPr>
          <w:color w:val="231F20"/>
        </w:rPr>
        <w:t xml:space="preserve"> </w:t>
      </w:r>
      <w:r w:rsidR="00F84634">
        <w:rPr>
          <w:color w:val="231F20"/>
        </w:rPr>
        <w:t>&lt;</w:t>
      </w:r>
      <w:r w:rsidR="00F84634" w:rsidRPr="00F84634">
        <w:t>https://www.nhmrc.gov.au/about-us/publications/australian-guidelines-prevention-and-control-infection-healthcare-2019</w:t>
      </w:r>
      <w:r w:rsidR="00F84634">
        <w:t xml:space="preserve">&gt;  </w:t>
      </w:r>
    </w:p>
    <w:p w14:paraId="75DEE095" w14:textId="22361763" w:rsidR="004D01D1" w:rsidRDefault="004D01D1" w:rsidP="004D01D1">
      <w:pPr>
        <w:pStyle w:val="DHHSbody"/>
        <w:spacing w:after="0"/>
      </w:pPr>
      <w:hyperlink r:id="rId22" w:history="1">
        <w:r w:rsidRPr="004D01D1">
          <w:rPr>
            <w:rStyle w:val="Hyperlink"/>
          </w:rPr>
          <w:t>Legislation.vic.gov.au (2017) Drugs, Poisons and Controlled</w:t>
        </w:r>
        <w:r w:rsidRPr="004D01D1">
          <w:rPr>
            <w:rStyle w:val="Hyperlink"/>
          </w:rPr>
          <w:t xml:space="preserve"> </w:t>
        </w:r>
        <w:r w:rsidRPr="004D01D1">
          <w:rPr>
            <w:rStyle w:val="Hyperlink"/>
          </w:rPr>
          <w:t>Substances Regulation 2017</w:t>
        </w:r>
      </w:hyperlink>
    </w:p>
    <w:p w14:paraId="43B49335" w14:textId="51AAC5F2" w:rsidR="004D01D1" w:rsidRDefault="004D01D1" w:rsidP="004D01D1">
      <w:pPr>
        <w:pStyle w:val="DHHSbody"/>
      </w:pPr>
      <w:r>
        <w:t>&lt;</w:t>
      </w:r>
      <w:r w:rsidRPr="004D01D1">
        <w:t>http://www.legislation.vic.gov.au/Domino/Web_Notes/LDMS/LTObject_Store/LTObjSt10.nsf/DDE300B846EED9C7CA257616000A3571/DF50163E7DEA2F6CCA2583300002B4C7/$FILE/17-29sra005%20authorised.pdf</w:t>
      </w:r>
      <w:r>
        <w:t>&gt;</w:t>
      </w:r>
    </w:p>
    <w:p w14:paraId="49D4DD8A" w14:textId="6341FEF5" w:rsidR="00833AEC" w:rsidRDefault="004D01D1" w:rsidP="00833AEC">
      <w:pPr>
        <w:pStyle w:val="DHHSbody"/>
      </w:pPr>
      <w:hyperlink r:id="rId23" w:history="1">
        <w:r w:rsidR="00833AEC" w:rsidRPr="00F84634">
          <w:rPr>
            <w:rStyle w:val="Hyperlink"/>
          </w:rPr>
          <w:t>Legislation.vic.gov.au (2005) Radiation Act 2</w:t>
        </w:r>
        <w:r w:rsidR="00F84634" w:rsidRPr="00F84634">
          <w:rPr>
            <w:rStyle w:val="Hyperlink"/>
          </w:rPr>
          <w:t>005</w:t>
        </w:r>
      </w:hyperlink>
      <w:r w:rsidR="00F84634">
        <w:t xml:space="preserve"> &lt;</w:t>
      </w:r>
      <w:r w:rsidR="00F84634" w:rsidRPr="00F84634">
        <w:t>http://www.legislation.vic.gov.au/Domino/Web_Notes/LDMS/PubLawToday.nsf</w:t>
      </w:r>
      <w:r w:rsidR="00F84634">
        <w:t xml:space="preserve">&gt;  </w:t>
      </w:r>
      <w:bookmarkStart w:id="53" w:name="_GoBack"/>
      <w:bookmarkEnd w:id="53"/>
    </w:p>
    <w:p w14:paraId="02EEC150" w14:textId="5E123C7E" w:rsidR="00F84634" w:rsidRDefault="004D01D1" w:rsidP="007933F7">
      <w:pPr>
        <w:pStyle w:val="DHHSbody"/>
        <w:rPr>
          <w:color w:val="231F20"/>
        </w:rPr>
      </w:pPr>
      <w:hyperlink r:id="rId24" w:history="1">
        <w:r w:rsidR="00833AEC" w:rsidRPr="00F84634">
          <w:rPr>
            <w:rStyle w:val="Hyperlink"/>
          </w:rPr>
          <w:t>Standards Australia (2018) DR AS 3816:2018, Management of clinical and related wastes</w:t>
        </w:r>
      </w:hyperlink>
      <w:r w:rsidR="00706DD6" w:rsidRPr="00F84634">
        <w:rPr>
          <w:color w:val="231F20"/>
        </w:rPr>
        <w:t xml:space="preserve"> </w:t>
      </w:r>
      <w:r w:rsidR="00F84634">
        <w:rPr>
          <w:color w:val="231F20"/>
        </w:rPr>
        <w:t>&lt;</w:t>
      </w:r>
      <w:r w:rsidR="00F84634" w:rsidRPr="00F84634">
        <w:t>https://infostore.saiglobal.com/en-us/Standards/AS-3816-2018-1138248_SAIG_AS_AS_2694836/</w:t>
      </w:r>
      <w:r w:rsidR="00F84634">
        <w:t xml:space="preserve">&gt; </w:t>
      </w:r>
    </w:p>
    <w:p w14:paraId="2F66013B" w14:textId="5B686484" w:rsidR="006F6B8C" w:rsidRPr="00F84634" w:rsidRDefault="004D01D1" w:rsidP="007933F7">
      <w:pPr>
        <w:pStyle w:val="DHHSbody"/>
      </w:pPr>
      <w:hyperlink r:id="rId25" w:history="1">
        <w:r w:rsidR="00833AEC" w:rsidRPr="005F0077">
          <w:rPr>
            <w:rStyle w:val="Hyperlink"/>
          </w:rPr>
          <w:t>WMAA (2014) Industry Code of Practice for the Management of Biohazardous Waste (Including Clinical and Related Wastes), 7th Edition</w:t>
        </w:r>
      </w:hyperlink>
      <w:r w:rsidR="005F0077">
        <w:t xml:space="preserve"> &lt;</w:t>
      </w:r>
      <w:r w:rsidR="005F0077" w:rsidRPr="005F0077">
        <w:t>https://www.wmrr.asn.au/</w:t>
      </w:r>
      <w:r w:rsidR="005F0077">
        <w:t xml:space="preserve">&gt;  </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2F660144"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F66013C" w14:textId="6DA71629" w:rsidR="006254F8" w:rsidRPr="00C31117" w:rsidRDefault="006254F8" w:rsidP="005C54B5">
            <w:pPr>
              <w:pStyle w:val="DHHSaccessibilitypara"/>
            </w:pPr>
            <w:r w:rsidRPr="00C31117">
              <w:t>To receive this publication in an accessible format email</w:t>
            </w:r>
            <w:r>
              <w:t xml:space="preserve"> </w:t>
            </w:r>
            <w:r w:rsidR="00706DD6">
              <w:t xml:space="preserve">the </w:t>
            </w:r>
            <w:hyperlink r:id="rId26" w:history="1">
              <w:r w:rsidR="00706DD6" w:rsidRPr="00706DD6">
                <w:rPr>
                  <w:rStyle w:val="Hyperlink"/>
                </w:rPr>
                <w:t>Sustainability team</w:t>
              </w:r>
            </w:hyperlink>
            <w:r w:rsidR="00706DD6">
              <w:t xml:space="preserve"> </w:t>
            </w:r>
            <w:r w:rsidRPr="00706DD6">
              <w:t>&lt;</w:t>
            </w:r>
            <w:r w:rsidR="00706DD6" w:rsidRPr="00706DD6">
              <w:t>sustainability@dhhs.vic.gov.au&gt;</w:t>
            </w:r>
            <w:r w:rsidR="00706DD6">
              <w:t xml:space="preserve"> </w:t>
            </w:r>
          </w:p>
          <w:p w14:paraId="2F66013D" w14:textId="77777777" w:rsidR="006254F8" w:rsidRPr="00C31117" w:rsidRDefault="006254F8" w:rsidP="005C54B5">
            <w:pPr>
              <w:pStyle w:val="DHHSbody"/>
            </w:pPr>
            <w:r w:rsidRPr="00C31117">
              <w:t>Authorised and published by the Victorian Government, 1 Treasury Place, Melbourne.</w:t>
            </w:r>
          </w:p>
          <w:p w14:paraId="2F66013E" w14:textId="392A28F4" w:rsidR="006254F8" w:rsidRPr="00C31117" w:rsidRDefault="006254F8" w:rsidP="005C54B5">
            <w:pPr>
              <w:pStyle w:val="DHHSbody"/>
            </w:pPr>
            <w:r w:rsidRPr="00C31117">
              <w:t xml:space="preserve">© State of Victoria, Australia, </w:t>
            </w:r>
            <w:r w:rsidR="000E778A">
              <w:t>Victorian Health and Human Service</w:t>
            </w:r>
            <w:r w:rsidRPr="00C31117">
              <w:t>s</w:t>
            </w:r>
            <w:r w:rsidR="000E778A">
              <w:t xml:space="preserve"> Building Authority</w:t>
            </w:r>
            <w:r w:rsidR="00706DD6">
              <w:t>, February 2020,</w:t>
            </w:r>
          </w:p>
          <w:p w14:paraId="2F660141" w14:textId="2017C247" w:rsidR="006254F8" w:rsidRPr="00C31117" w:rsidRDefault="006254F8" w:rsidP="005C54B5">
            <w:pPr>
              <w:pStyle w:val="DHHSbody"/>
            </w:pPr>
            <w:r w:rsidRPr="00BA0114">
              <w:rPr>
                <w:b/>
                <w:bCs/>
              </w:rPr>
              <w:t>ISBN</w:t>
            </w:r>
            <w:r w:rsidRPr="00BA0114">
              <w:rPr>
                <w:b/>
                <w:bCs/>
                <w:color w:val="008950"/>
              </w:rPr>
              <w:t xml:space="preserve"> </w:t>
            </w:r>
            <w:r w:rsidR="00BA0114" w:rsidRPr="00BA0114">
              <w:t>978-1-76069-103-5</w:t>
            </w:r>
          </w:p>
          <w:p w14:paraId="2F660143" w14:textId="36B5F28B" w:rsidR="006254F8" w:rsidRPr="002802E3" w:rsidRDefault="006254F8" w:rsidP="005C54B5">
            <w:pPr>
              <w:pStyle w:val="DHHSbody"/>
            </w:pPr>
            <w:r w:rsidRPr="00C31117">
              <w:rPr>
                <w:szCs w:val="19"/>
              </w:rPr>
              <w:t>Available at</w:t>
            </w:r>
            <w:r w:rsidR="00706DD6">
              <w:rPr>
                <w:szCs w:val="19"/>
              </w:rPr>
              <w:t xml:space="preserve"> the department’s </w:t>
            </w:r>
            <w:hyperlink r:id="rId27" w:history="1">
              <w:r w:rsidR="00706DD6" w:rsidRPr="00706DD6">
                <w:rPr>
                  <w:rStyle w:val="Hyperlink"/>
                  <w:szCs w:val="19"/>
                </w:rPr>
                <w:t>sustainability</w:t>
              </w:r>
              <w:r w:rsidR="005F0077">
                <w:rPr>
                  <w:rStyle w:val="Hyperlink"/>
                  <w:szCs w:val="19"/>
                </w:rPr>
                <w:t xml:space="preserve"> in healthcare </w:t>
              </w:r>
              <w:r w:rsidR="00706DD6" w:rsidRPr="00706DD6">
                <w:rPr>
                  <w:rStyle w:val="Hyperlink"/>
                  <w:szCs w:val="19"/>
                </w:rPr>
                <w:t>website</w:t>
              </w:r>
            </w:hyperlink>
            <w:r w:rsidRPr="006254F8">
              <w:rPr>
                <w:color w:val="000000"/>
                <w:szCs w:val="19"/>
              </w:rPr>
              <w:t xml:space="preserve"> </w:t>
            </w:r>
            <w:r w:rsidRPr="00706DD6">
              <w:t>&lt;</w:t>
            </w:r>
            <w:hyperlink r:id="rId28" w:history="1">
              <w:r w:rsidR="00706DD6" w:rsidRPr="00706DD6">
                <w:t>https://www2.health.vic.gov.au/hospitals-and-health-services/planning-infrastructure/sustainability/waste/clinical-related-waste</w:t>
              </w:r>
            </w:hyperlink>
            <w:r w:rsidRPr="00706DD6">
              <w:t>&gt;</w:t>
            </w:r>
            <w:r w:rsidR="00706DD6">
              <w:t xml:space="preserve"> </w:t>
            </w:r>
          </w:p>
        </w:tc>
      </w:tr>
    </w:tbl>
    <w:p w14:paraId="2F660145" w14:textId="77777777" w:rsidR="00B2752E" w:rsidRPr="00906490" w:rsidRDefault="00B2752E" w:rsidP="00FF6D9D">
      <w:pPr>
        <w:pStyle w:val="DHHSbody"/>
      </w:pPr>
    </w:p>
    <w:sectPr w:rsidR="00B2752E" w:rsidRPr="00906490" w:rsidSect="004013C7">
      <w:headerReference w:type="default" r:id="rId29"/>
      <w:footerReference w:type="default" r:id="rId30"/>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014C" w14:textId="77777777" w:rsidR="00833AEC" w:rsidRDefault="00833AEC">
      <w:r>
        <w:separator/>
      </w:r>
    </w:p>
  </w:endnote>
  <w:endnote w:type="continuationSeparator" w:id="0">
    <w:p w14:paraId="2F66014D" w14:textId="77777777" w:rsidR="00833AEC" w:rsidRDefault="0083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6505" w14:textId="77777777" w:rsidR="004D01D1" w:rsidRDefault="004D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0151" w14:textId="77777777" w:rsidR="00833AEC" w:rsidRPr="00F65AA9" w:rsidRDefault="00833AEC" w:rsidP="0051568D">
    <w:pPr>
      <w:pStyle w:val="DHHSfooter"/>
    </w:pPr>
    <w:r>
      <w:rPr>
        <w:noProof/>
        <w:lang w:eastAsia="en-AU"/>
      </w:rPr>
      <w:drawing>
        <wp:anchor distT="0" distB="0" distL="114300" distR="114300" simplePos="0" relativeHeight="251658240" behindDoc="0" locked="1" layoutInCell="0" allowOverlap="1" wp14:anchorId="2F660156" wp14:editId="2F660157">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F0E1" w14:textId="77777777" w:rsidR="004D01D1" w:rsidRDefault="004D01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0155" w14:textId="70584FAC" w:rsidR="00833AEC" w:rsidRPr="00A11421" w:rsidRDefault="00833AEC" w:rsidP="0051568D">
    <w:pPr>
      <w:pStyle w:val="DHHSfooter"/>
    </w:pPr>
    <w:r>
      <w:t>Clinical and related waste guidance – supplement for healthcare staf</w:t>
    </w:r>
    <w:r w:rsidR="00C91A80">
      <w:t>f</w:t>
    </w:r>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014A" w14:textId="77777777" w:rsidR="00833AEC" w:rsidRDefault="00833AEC" w:rsidP="002862F1">
      <w:pPr>
        <w:spacing w:before="120"/>
      </w:pPr>
      <w:r>
        <w:separator/>
      </w:r>
    </w:p>
  </w:footnote>
  <w:footnote w:type="continuationSeparator" w:id="0">
    <w:p w14:paraId="2F66014B" w14:textId="77777777" w:rsidR="00833AEC" w:rsidRDefault="00833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5EDF" w14:textId="77777777" w:rsidR="004D01D1" w:rsidRDefault="004D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EC14" w14:textId="77777777" w:rsidR="004D01D1" w:rsidRDefault="004D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DE0B5" w14:textId="77777777" w:rsidR="004D01D1" w:rsidRDefault="004D0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0154" w14:textId="77777777" w:rsidR="00833AEC" w:rsidRPr="0051568D" w:rsidRDefault="00833AEC"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368"/>
        </w:tabs>
        <w:ind w:left="368" w:hanging="397"/>
      </w:pPr>
      <w:rPr>
        <w:rFonts w:hint="default"/>
      </w:rPr>
    </w:lvl>
    <w:lvl w:ilvl="2">
      <w:start w:val="1"/>
      <w:numFmt w:val="bullet"/>
      <w:lvlRestart w:val="0"/>
      <w:lvlText w:val="•"/>
      <w:lvlJc w:val="left"/>
      <w:pPr>
        <w:tabs>
          <w:tab w:val="num" w:pos="368"/>
        </w:tabs>
        <w:ind w:left="368" w:hanging="397"/>
      </w:pPr>
      <w:rPr>
        <w:rFonts w:ascii="Calibri" w:hAnsi="Calibri" w:hint="default"/>
      </w:rPr>
    </w:lvl>
    <w:lvl w:ilvl="3">
      <w:start w:val="1"/>
      <w:numFmt w:val="bullet"/>
      <w:lvlRestart w:val="0"/>
      <w:lvlText w:val="–"/>
      <w:lvlJc w:val="left"/>
      <w:pPr>
        <w:tabs>
          <w:tab w:val="num" w:pos="765"/>
        </w:tabs>
        <w:ind w:left="765" w:hanging="397"/>
      </w:pPr>
      <w:rPr>
        <w:rFonts w:ascii="Calibri" w:hAnsi="Calibri" w:hint="default"/>
      </w:rPr>
    </w:lvl>
    <w:lvl w:ilvl="4">
      <w:start w:val="1"/>
      <w:numFmt w:val="none"/>
      <w:lvlRestart w:val="0"/>
      <w:lvlText w:val=""/>
      <w:lvlJc w:val="left"/>
      <w:pPr>
        <w:ind w:left="-426" w:firstLine="0"/>
      </w:pPr>
      <w:rPr>
        <w:rFonts w:hint="default"/>
      </w:rPr>
    </w:lvl>
    <w:lvl w:ilvl="5">
      <w:start w:val="1"/>
      <w:numFmt w:val="none"/>
      <w:lvlRestart w:val="0"/>
      <w:lvlText w:val=""/>
      <w:lvlJc w:val="left"/>
      <w:pPr>
        <w:ind w:left="-426" w:firstLine="0"/>
      </w:pPr>
      <w:rPr>
        <w:rFonts w:hint="default"/>
      </w:rPr>
    </w:lvl>
    <w:lvl w:ilvl="6">
      <w:start w:val="1"/>
      <w:numFmt w:val="none"/>
      <w:lvlRestart w:val="0"/>
      <w:lvlText w:val=""/>
      <w:lvlJc w:val="left"/>
      <w:pPr>
        <w:ind w:left="-426" w:firstLine="0"/>
      </w:pPr>
      <w:rPr>
        <w:rFonts w:hint="default"/>
      </w:rPr>
    </w:lvl>
    <w:lvl w:ilvl="7">
      <w:start w:val="1"/>
      <w:numFmt w:val="none"/>
      <w:lvlRestart w:val="0"/>
      <w:lvlText w:val=""/>
      <w:lvlJc w:val="left"/>
      <w:pPr>
        <w:ind w:left="-426" w:firstLine="0"/>
      </w:pPr>
      <w:rPr>
        <w:rFonts w:hint="default"/>
      </w:rPr>
    </w:lvl>
    <w:lvl w:ilvl="8">
      <w:start w:val="1"/>
      <w:numFmt w:val="none"/>
      <w:lvlRestart w:val="0"/>
      <w:lvlText w:val=""/>
      <w:lvlJc w:val="right"/>
      <w:pPr>
        <w:ind w:left="-426" w:firstLine="0"/>
      </w:pPr>
      <w:rPr>
        <w:rFonts w:hint="default"/>
      </w:rPr>
    </w:lvl>
  </w:abstractNum>
  <w:abstractNum w:abstractNumId="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682E"/>
    <w:rsid w:val="000072B6"/>
    <w:rsid w:val="0001021B"/>
    <w:rsid w:val="00011D89"/>
    <w:rsid w:val="000154FD"/>
    <w:rsid w:val="00024D89"/>
    <w:rsid w:val="000250B6"/>
    <w:rsid w:val="00033D81"/>
    <w:rsid w:val="00041A5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931"/>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A"/>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760F8"/>
    <w:rsid w:val="00483968"/>
    <w:rsid w:val="00484F86"/>
    <w:rsid w:val="00490746"/>
    <w:rsid w:val="00490852"/>
    <w:rsid w:val="00492F30"/>
    <w:rsid w:val="004946F4"/>
    <w:rsid w:val="0049487E"/>
    <w:rsid w:val="00494E1E"/>
    <w:rsid w:val="004A160D"/>
    <w:rsid w:val="004A3E81"/>
    <w:rsid w:val="004A5C62"/>
    <w:rsid w:val="004A707D"/>
    <w:rsid w:val="004B6F52"/>
    <w:rsid w:val="004C6EEE"/>
    <w:rsid w:val="004C702B"/>
    <w:rsid w:val="004D0033"/>
    <w:rsid w:val="004D016B"/>
    <w:rsid w:val="004D01D1"/>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077"/>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3510"/>
    <w:rsid w:val="006B6803"/>
    <w:rsid w:val="006D0F16"/>
    <w:rsid w:val="006D2A3F"/>
    <w:rsid w:val="006D2FBC"/>
    <w:rsid w:val="006E138B"/>
    <w:rsid w:val="006F1FDC"/>
    <w:rsid w:val="006F6B8C"/>
    <w:rsid w:val="007013EF"/>
    <w:rsid w:val="00706DD6"/>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5FA8"/>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33AEC"/>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5B32"/>
    <w:rsid w:val="008B2EE4"/>
    <w:rsid w:val="008B4D3D"/>
    <w:rsid w:val="008B57C7"/>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5646"/>
    <w:rsid w:val="00B90729"/>
    <w:rsid w:val="00B907DA"/>
    <w:rsid w:val="00B94362"/>
    <w:rsid w:val="00B950BC"/>
    <w:rsid w:val="00B9714C"/>
    <w:rsid w:val="00BA0114"/>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5963"/>
    <w:rsid w:val="00C863C4"/>
    <w:rsid w:val="00C91A80"/>
    <w:rsid w:val="00C920EA"/>
    <w:rsid w:val="00C93C3E"/>
    <w:rsid w:val="00CA12E3"/>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6A01"/>
    <w:rsid w:val="00E61B88"/>
    <w:rsid w:val="00E629A1"/>
    <w:rsid w:val="00E6794C"/>
    <w:rsid w:val="00E71591"/>
    <w:rsid w:val="00E80DE3"/>
    <w:rsid w:val="00E82C55"/>
    <w:rsid w:val="00E92AC3"/>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4634"/>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2F6600C8"/>
  <w15:docId w15:val="{F909E502-887E-4F18-9FDC-34FD6599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styleId="UnresolvedMention">
    <w:name w:val="Unresolved Mention"/>
    <w:basedOn w:val="DefaultParagraphFont"/>
    <w:uiPriority w:val="99"/>
    <w:semiHidden/>
    <w:unhideWhenUsed/>
    <w:rsid w:val="00C9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2.health.vic.gov.au/about/publications/policiesandguidelines/disposal-of-radioactive-material" TargetMode="External"/><Relationship Id="rId26" Type="http://schemas.openxmlformats.org/officeDocument/2006/relationships/hyperlink" Target="mailto:sustainability@dhhs.vic.gov.au?subject=Clinical%20and%20related%20waste%20guidelines" TargetMode="External"/><Relationship Id="rId3" Type="http://schemas.openxmlformats.org/officeDocument/2006/relationships/settings" Target="settings.xml"/><Relationship Id="rId21" Type="http://schemas.openxmlformats.org/officeDocument/2006/relationships/hyperlink" Target="https://www.nhmrc.gov.au/about-us/publications/australian-guidelines-prevention-and-control-infection-healthcare-2019"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sustainability@dhhs.vic.gov.au" TargetMode="External"/><Relationship Id="rId25" Type="http://schemas.openxmlformats.org/officeDocument/2006/relationships/hyperlink" Target="https://www.wmrr.asn.au/" TargetMode="External"/><Relationship Id="rId2" Type="http://schemas.openxmlformats.org/officeDocument/2006/relationships/styles" Target="styles.xml"/><Relationship Id="rId16" Type="http://schemas.openxmlformats.org/officeDocument/2006/relationships/hyperlink" Target="https://www.nhmrc.gov.au/health-advice/public-health/preventing-infection" TargetMode="External"/><Relationship Id="rId20" Type="http://schemas.openxmlformats.org/officeDocument/2006/relationships/hyperlink" Target="https://www.epa.vic.gov.au/about-epa/publications/iwrg612-1"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infostore.saiglobal.com/en-us/Standards/AS-3816-2018-1138248_SAIG_AS_AS_26948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legislation.vic.gov.au/Domino/Web_Notes/LDMS/PubLawToday.nsf" TargetMode="External"/><Relationship Id="rId28" Type="http://schemas.openxmlformats.org/officeDocument/2006/relationships/hyperlink" Target="https://www2.health.vic.gov.au/hospitals-and-health-services/planning-infrastructure/sustainability/waste/clinical-related-waste" TargetMode="External"/><Relationship Id="rId10" Type="http://schemas.openxmlformats.org/officeDocument/2006/relationships/footer" Target="footer1.xml"/><Relationship Id="rId19" Type="http://schemas.openxmlformats.org/officeDocument/2006/relationships/hyperlink" Target="https://www2.health.vic.gov.au/about/%20publications/researchandreports/The-blue-bo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legislation.vic.gov.au/Domino/Web_Notes/LDMS/LTObject_Store/LTObjSt10.nsf/DDE300B846EED9C7CA257616000A3571/DF50163E7DEA2F6CCA2583300002B4C7/$FILE/17-29sra005%20authorised.pdf" TargetMode="External"/><Relationship Id="rId27" Type="http://schemas.openxmlformats.org/officeDocument/2006/relationships/hyperlink" Target="https://www2.health.vic.gov.au/hospitals-and-health-services/planning-infrastructure/sustainability/waste/clinical-related-waste%3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Clinical and related waste guidelines - supplement for healthcare staff (accessbile version)</vt:lpstr>
    </vt:vector>
  </TitlesOfParts>
  <Company>Victorian Health and Human Services Building Authority</Company>
  <LinksUpToDate>false</LinksUpToDate>
  <CharactersWithSpaces>21007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and related waste guidelines - supplement for healthcare staff (accessbile version)</dc:title>
  <dc:subject>Clinical and related waste guidelines</dc:subject>
  <dc:creator>Rachel McConville</dc:creator>
  <cp:keywords>healthcare; contamination; clinical waste; body fluids</cp:keywords>
  <cp:lastModifiedBy>Rachel McConville (DHHS)</cp:lastModifiedBy>
  <cp:revision>3</cp:revision>
  <cp:lastPrinted>2017-07-07T00:32:00Z</cp:lastPrinted>
  <dcterms:created xsi:type="dcterms:W3CDTF">2020-02-18T05:01:00Z</dcterms:created>
  <dcterms:modified xsi:type="dcterms:W3CDTF">2020-02-27T00:27:00Z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