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01"/>
        <w:tblW w:w="0" w:type="auto"/>
        <w:tblLook w:val="04A0" w:firstRow="1" w:lastRow="0" w:firstColumn="1" w:lastColumn="0" w:noHBand="0" w:noVBand="1"/>
      </w:tblPr>
      <w:tblGrid>
        <w:gridCol w:w="8755"/>
      </w:tblGrid>
      <w:tr w:rsidR="00493B5C" w14:paraId="33298D11" w14:textId="77777777" w:rsidTr="006C4E56">
        <w:trPr>
          <w:trHeight w:val="1247"/>
        </w:trPr>
        <w:tc>
          <w:tcPr>
            <w:tcW w:w="8755" w:type="dxa"/>
            <w:shd w:val="clear" w:color="auto" w:fill="auto"/>
            <w:vAlign w:val="bottom"/>
          </w:tcPr>
          <w:p w14:paraId="4A18C425" w14:textId="77777777" w:rsidR="00493B5C" w:rsidRPr="00EE74E5" w:rsidRDefault="006C4E56" w:rsidP="006C4E56">
            <w:pPr>
              <w:pStyle w:val="DHHSmainheading"/>
            </w:pPr>
            <w:bookmarkStart w:id="0" w:name="_GoBack"/>
            <w:bookmarkEnd w:id="0"/>
            <w:r>
              <w:t>h</w:t>
            </w:r>
            <w:r w:rsidR="00633840">
              <w:rPr>
                <w:caps w:val="0"/>
              </w:rPr>
              <w:t>ealth service waste audit guidelines</w:t>
            </w:r>
          </w:p>
        </w:tc>
      </w:tr>
    </w:tbl>
    <w:p w14:paraId="727E68F4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301767DB" wp14:editId="0CF81889">
            <wp:simplePos x="0" y="0"/>
            <wp:positionH relativeFrom="page">
              <wp:posOffset>-6350</wp:posOffset>
            </wp:positionH>
            <wp:positionV relativeFrom="page">
              <wp:posOffset>-6350</wp:posOffset>
            </wp:positionV>
            <wp:extent cx="7788275" cy="2213610"/>
            <wp:effectExtent l="0" t="0" r="3175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D43F9A" w14:paraId="6B0CAA44" w14:textId="77777777" w:rsidTr="00D43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tcW w:w="10096" w:type="dxa"/>
            <w:shd w:val="clear" w:color="auto" w:fill="auto"/>
          </w:tcPr>
          <w:p w14:paraId="2F730828" w14:textId="77777777" w:rsidR="00D43F9A" w:rsidRDefault="00D43F9A" w:rsidP="00B57329">
            <w:pPr>
              <w:pStyle w:val="DHHSTOCheadingfactshee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4CAC8EF3" w14:textId="77777777" w:rsidR="00493B5C" w:rsidRDefault="00493B5C" w:rsidP="00B57329">
      <w:pPr>
        <w:pStyle w:val="DHHSTOCheadingfactsheet"/>
        <w:rPr>
          <w:rFonts w:ascii="Times New Roman" w:hAnsi="Times New Roman"/>
          <w:b w:val="0"/>
          <w:color w:val="auto"/>
          <w:sz w:val="20"/>
          <w:szCs w:val="20"/>
        </w:rPr>
      </w:pPr>
    </w:p>
    <w:p w14:paraId="12F4D446" w14:textId="77777777" w:rsidR="00AD784C" w:rsidRPr="00EA4313" w:rsidRDefault="00AD784C" w:rsidP="00EA4313">
      <w:pPr>
        <w:pStyle w:val="DHHStablecaption"/>
        <w:rPr>
          <w:sz w:val="28"/>
          <w:szCs w:val="28"/>
        </w:rPr>
      </w:pPr>
      <w:bookmarkStart w:id="1" w:name="_Toc536105279"/>
      <w:r w:rsidRPr="00EA4313">
        <w:rPr>
          <w:sz w:val="28"/>
          <w:szCs w:val="28"/>
        </w:rPr>
        <w:t>Contents</w:t>
      </w:r>
      <w:bookmarkEnd w:id="1"/>
    </w:p>
    <w:p w14:paraId="6722753B" w14:textId="28766635" w:rsidR="005448A0" w:rsidRDefault="00EA4313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"1-1" \h \z </w:instrText>
      </w:r>
      <w:r>
        <w:rPr>
          <w:b/>
          <w:bCs/>
        </w:rPr>
        <w:fldChar w:fldCharType="separate"/>
      </w:r>
      <w:hyperlink w:anchor="_Toc2000845" w:history="1">
        <w:r w:rsidR="005448A0" w:rsidRPr="00FA2051">
          <w:rPr>
            <w:rStyle w:val="Hyperlink"/>
          </w:rPr>
          <w:t>Audit scope</w:t>
        </w:r>
        <w:r w:rsidR="005448A0">
          <w:rPr>
            <w:webHidden/>
          </w:rPr>
          <w:tab/>
        </w:r>
        <w:r w:rsidR="005448A0">
          <w:rPr>
            <w:webHidden/>
          </w:rPr>
          <w:fldChar w:fldCharType="begin"/>
        </w:r>
        <w:r w:rsidR="005448A0">
          <w:rPr>
            <w:webHidden/>
          </w:rPr>
          <w:instrText xml:space="preserve"> PAGEREF _Toc2000845 \h </w:instrText>
        </w:r>
        <w:r w:rsidR="005448A0">
          <w:rPr>
            <w:webHidden/>
          </w:rPr>
        </w:r>
        <w:r w:rsidR="005448A0">
          <w:rPr>
            <w:webHidden/>
          </w:rPr>
          <w:fldChar w:fldCharType="separate"/>
        </w:r>
        <w:r w:rsidR="00A2128A">
          <w:rPr>
            <w:webHidden/>
          </w:rPr>
          <w:t>1</w:t>
        </w:r>
        <w:r w:rsidR="005448A0">
          <w:rPr>
            <w:webHidden/>
          </w:rPr>
          <w:fldChar w:fldCharType="end"/>
        </w:r>
      </w:hyperlink>
    </w:p>
    <w:p w14:paraId="2FF84FCC" w14:textId="5ED4EDED" w:rsidR="005448A0" w:rsidRDefault="0040008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00846" w:history="1">
        <w:r w:rsidR="005448A0" w:rsidRPr="00FA2051">
          <w:rPr>
            <w:rStyle w:val="Hyperlink"/>
          </w:rPr>
          <w:t>Responsibilities of auditor</w:t>
        </w:r>
        <w:r w:rsidR="005448A0">
          <w:rPr>
            <w:webHidden/>
          </w:rPr>
          <w:tab/>
        </w:r>
        <w:r w:rsidR="005448A0">
          <w:rPr>
            <w:webHidden/>
          </w:rPr>
          <w:fldChar w:fldCharType="begin"/>
        </w:r>
        <w:r w:rsidR="005448A0">
          <w:rPr>
            <w:webHidden/>
          </w:rPr>
          <w:instrText xml:space="preserve"> PAGEREF _Toc2000846 \h </w:instrText>
        </w:r>
        <w:r w:rsidR="005448A0">
          <w:rPr>
            <w:webHidden/>
          </w:rPr>
        </w:r>
        <w:r w:rsidR="005448A0">
          <w:rPr>
            <w:webHidden/>
          </w:rPr>
          <w:fldChar w:fldCharType="separate"/>
        </w:r>
        <w:r w:rsidR="00A2128A">
          <w:rPr>
            <w:webHidden/>
          </w:rPr>
          <w:t>2</w:t>
        </w:r>
        <w:r w:rsidR="005448A0">
          <w:rPr>
            <w:webHidden/>
          </w:rPr>
          <w:fldChar w:fldCharType="end"/>
        </w:r>
      </w:hyperlink>
    </w:p>
    <w:p w14:paraId="641A0625" w14:textId="29A2AE37" w:rsidR="005448A0" w:rsidRDefault="0040008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00847" w:history="1">
        <w:r w:rsidR="005448A0" w:rsidRPr="00FA2051">
          <w:rPr>
            <w:rStyle w:val="Hyperlink"/>
          </w:rPr>
          <w:t>Responsibilities of health service</w:t>
        </w:r>
        <w:r w:rsidR="005448A0">
          <w:rPr>
            <w:webHidden/>
          </w:rPr>
          <w:tab/>
        </w:r>
        <w:r w:rsidR="005448A0">
          <w:rPr>
            <w:webHidden/>
          </w:rPr>
          <w:fldChar w:fldCharType="begin"/>
        </w:r>
        <w:r w:rsidR="005448A0">
          <w:rPr>
            <w:webHidden/>
          </w:rPr>
          <w:instrText xml:space="preserve"> PAGEREF _Toc2000847 \h </w:instrText>
        </w:r>
        <w:r w:rsidR="005448A0">
          <w:rPr>
            <w:webHidden/>
          </w:rPr>
        </w:r>
        <w:r w:rsidR="005448A0">
          <w:rPr>
            <w:webHidden/>
          </w:rPr>
          <w:fldChar w:fldCharType="separate"/>
        </w:r>
        <w:r w:rsidR="00A2128A">
          <w:rPr>
            <w:webHidden/>
          </w:rPr>
          <w:t>3</w:t>
        </w:r>
        <w:r w:rsidR="005448A0">
          <w:rPr>
            <w:webHidden/>
          </w:rPr>
          <w:fldChar w:fldCharType="end"/>
        </w:r>
      </w:hyperlink>
    </w:p>
    <w:p w14:paraId="556AACC1" w14:textId="3014471A" w:rsidR="005448A0" w:rsidRDefault="0040008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00848" w:history="1">
        <w:r w:rsidR="005448A0" w:rsidRPr="00FA2051">
          <w:rPr>
            <w:rStyle w:val="Hyperlink"/>
          </w:rPr>
          <w:t>Appendix 1: Composition categories</w:t>
        </w:r>
        <w:r w:rsidR="005448A0">
          <w:rPr>
            <w:webHidden/>
          </w:rPr>
          <w:tab/>
        </w:r>
        <w:r w:rsidR="005448A0">
          <w:rPr>
            <w:webHidden/>
          </w:rPr>
          <w:fldChar w:fldCharType="begin"/>
        </w:r>
        <w:r w:rsidR="005448A0">
          <w:rPr>
            <w:webHidden/>
          </w:rPr>
          <w:instrText xml:space="preserve"> PAGEREF _Toc2000848 \h </w:instrText>
        </w:r>
        <w:r w:rsidR="005448A0">
          <w:rPr>
            <w:webHidden/>
          </w:rPr>
        </w:r>
        <w:r w:rsidR="005448A0">
          <w:rPr>
            <w:webHidden/>
          </w:rPr>
          <w:fldChar w:fldCharType="separate"/>
        </w:r>
        <w:r w:rsidR="00A2128A">
          <w:rPr>
            <w:webHidden/>
          </w:rPr>
          <w:t>5</w:t>
        </w:r>
        <w:r w:rsidR="005448A0">
          <w:rPr>
            <w:webHidden/>
          </w:rPr>
          <w:fldChar w:fldCharType="end"/>
        </w:r>
      </w:hyperlink>
    </w:p>
    <w:p w14:paraId="787256DB" w14:textId="1A90CA37" w:rsidR="005448A0" w:rsidRDefault="0040008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00849" w:history="1">
        <w:r w:rsidR="005448A0" w:rsidRPr="00FA2051">
          <w:rPr>
            <w:rStyle w:val="Hyperlink"/>
          </w:rPr>
          <w:t>Appendix 2: Volume estimation protocols</w:t>
        </w:r>
        <w:r w:rsidR="005448A0">
          <w:rPr>
            <w:webHidden/>
          </w:rPr>
          <w:tab/>
        </w:r>
        <w:r w:rsidR="005448A0">
          <w:rPr>
            <w:webHidden/>
          </w:rPr>
          <w:fldChar w:fldCharType="begin"/>
        </w:r>
        <w:r w:rsidR="005448A0">
          <w:rPr>
            <w:webHidden/>
          </w:rPr>
          <w:instrText xml:space="preserve"> PAGEREF _Toc2000849 \h </w:instrText>
        </w:r>
        <w:r w:rsidR="005448A0">
          <w:rPr>
            <w:webHidden/>
          </w:rPr>
        </w:r>
        <w:r w:rsidR="005448A0">
          <w:rPr>
            <w:webHidden/>
          </w:rPr>
          <w:fldChar w:fldCharType="separate"/>
        </w:r>
        <w:r w:rsidR="00A2128A">
          <w:rPr>
            <w:webHidden/>
          </w:rPr>
          <w:t>6</w:t>
        </w:r>
        <w:r w:rsidR="005448A0">
          <w:rPr>
            <w:webHidden/>
          </w:rPr>
          <w:fldChar w:fldCharType="end"/>
        </w:r>
      </w:hyperlink>
    </w:p>
    <w:p w14:paraId="557AFB3B" w14:textId="0797DB6B" w:rsidR="005448A0" w:rsidRDefault="0040008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00850" w:history="1">
        <w:r w:rsidR="005448A0" w:rsidRPr="00FA2051">
          <w:rPr>
            <w:rStyle w:val="Hyperlink"/>
          </w:rPr>
          <w:t>Appendix 3: Auditors’ checklist</w:t>
        </w:r>
        <w:r w:rsidR="005448A0">
          <w:rPr>
            <w:webHidden/>
          </w:rPr>
          <w:tab/>
        </w:r>
        <w:r w:rsidR="005448A0">
          <w:rPr>
            <w:webHidden/>
          </w:rPr>
          <w:fldChar w:fldCharType="begin"/>
        </w:r>
        <w:r w:rsidR="005448A0">
          <w:rPr>
            <w:webHidden/>
          </w:rPr>
          <w:instrText xml:space="preserve"> PAGEREF _Toc2000850 \h </w:instrText>
        </w:r>
        <w:r w:rsidR="005448A0">
          <w:rPr>
            <w:webHidden/>
          </w:rPr>
        </w:r>
        <w:r w:rsidR="005448A0">
          <w:rPr>
            <w:webHidden/>
          </w:rPr>
          <w:fldChar w:fldCharType="separate"/>
        </w:r>
        <w:r w:rsidR="00A2128A">
          <w:rPr>
            <w:webHidden/>
          </w:rPr>
          <w:t>7</w:t>
        </w:r>
        <w:r w:rsidR="005448A0">
          <w:rPr>
            <w:webHidden/>
          </w:rPr>
          <w:fldChar w:fldCharType="end"/>
        </w:r>
      </w:hyperlink>
    </w:p>
    <w:p w14:paraId="6A04E105" w14:textId="2E2EC018" w:rsidR="005448A0" w:rsidRDefault="0040008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00851" w:history="1">
        <w:r w:rsidR="005448A0" w:rsidRPr="00FA2051">
          <w:rPr>
            <w:rStyle w:val="Hyperlink"/>
          </w:rPr>
          <w:t>Appendix 4: Audit sheet</w:t>
        </w:r>
        <w:r w:rsidR="005448A0">
          <w:rPr>
            <w:webHidden/>
          </w:rPr>
          <w:tab/>
        </w:r>
        <w:r w:rsidR="005448A0">
          <w:rPr>
            <w:webHidden/>
          </w:rPr>
          <w:fldChar w:fldCharType="begin"/>
        </w:r>
        <w:r w:rsidR="005448A0">
          <w:rPr>
            <w:webHidden/>
          </w:rPr>
          <w:instrText xml:space="preserve"> PAGEREF _Toc2000851 \h </w:instrText>
        </w:r>
        <w:r w:rsidR="005448A0">
          <w:rPr>
            <w:webHidden/>
          </w:rPr>
        </w:r>
        <w:r w:rsidR="005448A0">
          <w:rPr>
            <w:webHidden/>
          </w:rPr>
          <w:fldChar w:fldCharType="separate"/>
        </w:r>
        <w:r w:rsidR="00A2128A">
          <w:rPr>
            <w:webHidden/>
          </w:rPr>
          <w:t>8</w:t>
        </w:r>
        <w:r w:rsidR="005448A0">
          <w:rPr>
            <w:webHidden/>
          </w:rPr>
          <w:fldChar w:fldCharType="end"/>
        </w:r>
      </w:hyperlink>
    </w:p>
    <w:p w14:paraId="58396DCF" w14:textId="667F7500" w:rsidR="005448A0" w:rsidRDefault="0040008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2000852" w:history="1">
        <w:r w:rsidR="005448A0" w:rsidRPr="00FA2051">
          <w:rPr>
            <w:rStyle w:val="Hyperlink"/>
          </w:rPr>
          <w:t>Appendix 5: Health services’ checklist</w:t>
        </w:r>
        <w:r w:rsidR="005448A0">
          <w:rPr>
            <w:webHidden/>
          </w:rPr>
          <w:tab/>
        </w:r>
        <w:r w:rsidR="005448A0">
          <w:rPr>
            <w:webHidden/>
          </w:rPr>
          <w:fldChar w:fldCharType="begin"/>
        </w:r>
        <w:r w:rsidR="005448A0">
          <w:rPr>
            <w:webHidden/>
          </w:rPr>
          <w:instrText xml:space="preserve"> PAGEREF _Toc2000852 \h </w:instrText>
        </w:r>
        <w:r w:rsidR="005448A0">
          <w:rPr>
            <w:webHidden/>
          </w:rPr>
        </w:r>
        <w:r w:rsidR="005448A0">
          <w:rPr>
            <w:webHidden/>
          </w:rPr>
          <w:fldChar w:fldCharType="separate"/>
        </w:r>
        <w:r w:rsidR="00A2128A">
          <w:rPr>
            <w:webHidden/>
          </w:rPr>
          <w:t>9</w:t>
        </w:r>
        <w:r w:rsidR="005448A0">
          <w:rPr>
            <w:webHidden/>
          </w:rPr>
          <w:fldChar w:fldCharType="end"/>
        </w:r>
      </w:hyperlink>
    </w:p>
    <w:p w14:paraId="08005852" w14:textId="0E1F7043" w:rsidR="00493B5C" w:rsidRDefault="00EA4313" w:rsidP="00FE3733">
      <w:pPr>
        <w:pStyle w:val="Heading1"/>
      </w:pPr>
      <w:r>
        <w:rPr>
          <w:rFonts w:eastAsia="Times New Roman" w:cs="Times New Roman"/>
          <w:b/>
          <w:bCs w:val="0"/>
          <w:noProof/>
          <w:color w:val="auto"/>
          <w:kern w:val="0"/>
          <w:sz w:val="20"/>
          <w:szCs w:val="20"/>
        </w:rPr>
        <w:fldChar w:fldCharType="end"/>
      </w:r>
      <w:bookmarkStart w:id="2" w:name="_Toc2000845"/>
      <w:r w:rsidR="00621D39">
        <w:t>Audit s</w:t>
      </w:r>
      <w:r w:rsidR="00493B5C">
        <w:t>cope</w:t>
      </w:r>
      <w:bookmarkEnd w:id="2"/>
    </w:p>
    <w:p w14:paraId="1048FC9C" w14:textId="77777777" w:rsidR="00493B5C" w:rsidRPr="00220FF0" w:rsidRDefault="00493B5C" w:rsidP="00EA4313">
      <w:pPr>
        <w:pStyle w:val="Heading2"/>
      </w:pPr>
      <w:r>
        <w:t xml:space="preserve">Primary </w:t>
      </w:r>
      <w:r w:rsidR="00621D39">
        <w:t>a</w:t>
      </w:r>
      <w:r w:rsidRPr="00220FF0">
        <w:t>ims</w:t>
      </w:r>
    </w:p>
    <w:p w14:paraId="5B0FB6B3" w14:textId="77777777" w:rsidR="00493B5C" w:rsidRPr="00D501DB" w:rsidRDefault="00493B5C" w:rsidP="00D501DB">
      <w:pPr>
        <w:pStyle w:val="DHHSbullet1"/>
      </w:pPr>
      <w:r w:rsidRPr="00D501DB">
        <w:t>Conduct a physical waste audit of the specified waste stream to gain an understanding of its composition.</w:t>
      </w:r>
    </w:p>
    <w:p w14:paraId="04E0DC8E" w14:textId="77777777" w:rsidR="00493B5C" w:rsidRPr="00D501DB" w:rsidRDefault="00493B5C" w:rsidP="00D501DB">
      <w:pPr>
        <w:pStyle w:val="DHHSbullet1"/>
      </w:pPr>
      <w:r w:rsidRPr="00D501DB">
        <w:t>Identify waste items that could be recovered or disposed of more efficiently.</w:t>
      </w:r>
    </w:p>
    <w:p w14:paraId="4179D9CD" w14:textId="2A897B96" w:rsidR="00493B5C" w:rsidRPr="00AB26F6" w:rsidRDefault="00493B5C" w:rsidP="00D501DB">
      <w:pPr>
        <w:pStyle w:val="DHHSbullet1"/>
      </w:pPr>
      <w:r w:rsidRPr="00D501DB">
        <w:t xml:space="preserve">Recognise recycling streams operating </w:t>
      </w:r>
      <w:r w:rsidR="00461EBE">
        <w:t xml:space="preserve">or </w:t>
      </w:r>
      <w:r w:rsidRPr="00D501DB">
        <w:t>not operating within health services in relation to</w:t>
      </w:r>
      <w:r w:rsidRPr="00CF78F8">
        <w:t xml:space="preserve"> </w:t>
      </w:r>
      <w:r w:rsidR="00D501DB" w:rsidRPr="00FE3733">
        <w:rPr>
          <w:rFonts w:cs="Arial"/>
          <w:shd w:val="clear" w:color="auto" w:fill="FFFFFF"/>
        </w:rPr>
        <w:t>Environmental Data Management System</w:t>
      </w:r>
      <w:r w:rsidR="00D501DB" w:rsidRPr="00CF78F8" w:rsidDel="00D501DB">
        <w:t xml:space="preserve"> </w:t>
      </w:r>
      <w:r w:rsidRPr="00D501DB">
        <w:t>waste streams</w:t>
      </w:r>
      <w:r>
        <w:t>.</w:t>
      </w:r>
    </w:p>
    <w:p w14:paraId="7AA5595F" w14:textId="77777777" w:rsidR="00493B5C" w:rsidRPr="004C4CAB" w:rsidRDefault="00493B5C" w:rsidP="00EA4313">
      <w:pPr>
        <w:pStyle w:val="Heading2"/>
      </w:pPr>
      <w:bookmarkStart w:id="3" w:name="_Toc515273295"/>
      <w:r w:rsidRPr="004C4CAB">
        <w:t>Timing</w:t>
      </w:r>
      <w:bookmarkEnd w:id="3"/>
    </w:p>
    <w:p w14:paraId="346291CA" w14:textId="7756E8A7" w:rsidR="00493B5C" w:rsidRPr="00255909" w:rsidRDefault="00863CB5" w:rsidP="00D501DB">
      <w:pPr>
        <w:pStyle w:val="DHHSbullet1"/>
      </w:pPr>
      <w:r>
        <w:t>The</w:t>
      </w:r>
      <w:r w:rsidR="00416948">
        <w:t xml:space="preserve"> s</w:t>
      </w:r>
      <w:r w:rsidR="00877500">
        <w:t>pecified w</w:t>
      </w:r>
      <w:r w:rsidR="00493B5C" w:rsidRPr="00255909">
        <w:t xml:space="preserve">aste </w:t>
      </w:r>
      <w:r w:rsidR="002C039B">
        <w:t xml:space="preserve">stream </w:t>
      </w:r>
      <w:r w:rsidR="00416948">
        <w:t xml:space="preserve">should be </w:t>
      </w:r>
      <w:r w:rsidR="00493B5C" w:rsidRPr="00255909">
        <w:t xml:space="preserve">collected and quarantined over one </w:t>
      </w:r>
      <w:r w:rsidR="006C4E56" w:rsidRPr="00255909">
        <w:t>24-hour</w:t>
      </w:r>
      <w:r w:rsidR="00493B5C" w:rsidRPr="00255909">
        <w:t xml:space="preserve"> period and during a weekday (not including public holidays).</w:t>
      </w:r>
    </w:p>
    <w:p w14:paraId="447FCB06" w14:textId="27E83D2A" w:rsidR="00493B5C" w:rsidRPr="00255909" w:rsidRDefault="00416948" w:rsidP="00D501DB">
      <w:pPr>
        <w:pStyle w:val="DHHSbullet1"/>
      </w:pPr>
      <w:r>
        <w:t>D</w:t>
      </w:r>
      <w:r w:rsidR="00493B5C" w:rsidRPr="00255909">
        <w:t xml:space="preserve">elay </w:t>
      </w:r>
      <w:r>
        <w:t xml:space="preserve">the audit </w:t>
      </w:r>
      <w:r w:rsidR="00493B5C" w:rsidRPr="00255909">
        <w:t>if a major event</w:t>
      </w:r>
      <w:r w:rsidR="00773455">
        <w:t>, such as a move o</w:t>
      </w:r>
      <w:r w:rsidR="000717AA">
        <w:t>r</w:t>
      </w:r>
      <w:r w:rsidR="00773455">
        <w:t xml:space="preserve"> major health emergency,</w:t>
      </w:r>
      <w:r w:rsidR="00773455" w:rsidRPr="00255909">
        <w:t xml:space="preserve"> </w:t>
      </w:r>
      <w:r w:rsidR="00493B5C" w:rsidRPr="00255909">
        <w:t xml:space="preserve">has occurred that may </w:t>
      </w:r>
      <w:r w:rsidR="00D501DB">
        <w:t>affect</w:t>
      </w:r>
      <w:r w:rsidR="00D501DB" w:rsidRPr="00255909">
        <w:t xml:space="preserve"> </w:t>
      </w:r>
      <w:r w:rsidR="00493B5C" w:rsidRPr="00255909">
        <w:t>the data.</w:t>
      </w:r>
    </w:p>
    <w:p w14:paraId="759C7A72" w14:textId="77777777" w:rsidR="00493B5C" w:rsidRPr="004C4CAB" w:rsidRDefault="00621D39" w:rsidP="00EA4313">
      <w:pPr>
        <w:pStyle w:val="Heading2"/>
      </w:pPr>
      <w:bookmarkStart w:id="4" w:name="_Toc515273296"/>
      <w:r>
        <w:t>Site s</w:t>
      </w:r>
      <w:r w:rsidR="00493B5C" w:rsidRPr="004C4CAB">
        <w:t>pecificity</w:t>
      </w:r>
      <w:bookmarkEnd w:id="4"/>
    </w:p>
    <w:p w14:paraId="0F125C61" w14:textId="38C4D81E" w:rsidR="00493B5C" w:rsidRPr="00255909" w:rsidRDefault="00493B5C" w:rsidP="00D501DB">
      <w:pPr>
        <w:pStyle w:val="DHHSbullet1"/>
      </w:pPr>
      <w:r w:rsidRPr="00255909">
        <w:t xml:space="preserve">Each ward/department </w:t>
      </w:r>
      <w:r w:rsidR="00461EBE">
        <w:t xml:space="preserve">should be </w:t>
      </w:r>
      <w:r w:rsidRPr="00255909">
        <w:t>audited separately</w:t>
      </w:r>
      <w:r w:rsidR="00461EBE">
        <w:t>.</w:t>
      </w:r>
    </w:p>
    <w:p w14:paraId="4E6EBD8B" w14:textId="77777777" w:rsidR="00493B5C" w:rsidRPr="004C4CAB" w:rsidRDefault="00621D39" w:rsidP="00EA4313">
      <w:pPr>
        <w:pStyle w:val="Heading2"/>
      </w:pPr>
      <w:bookmarkStart w:id="5" w:name="_Toc515273297"/>
      <w:r>
        <w:t>Bins to be a</w:t>
      </w:r>
      <w:r w:rsidR="00493B5C" w:rsidRPr="004C4CAB">
        <w:t>udited</w:t>
      </w:r>
      <w:bookmarkEnd w:id="5"/>
    </w:p>
    <w:p w14:paraId="096A6234" w14:textId="79887225" w:rsidR="00493B5C" w:rsidRPr="00255909" w:rsidRDefault="00493B5C" w:rsidP="00D501DB">
      <w:pPr>
        <w:pStyle w:val="DHHSbullet1"/>
      </w:pPr>
      <w:r w:rsidRPr="00255909">
        <w:t xml:space="preserve">Only bins with </w:t>
      </w:r>
      <w:r w:rsidR="00854611">
        <w:t xml:space="preserve">colouring or </w:t>
      </w:r>
      <w:r w:rsidRPr="00255909">
        <w:t xml:space="preserve">labelling associated with the </w:t>
      </w:r>
      <w:r w:rsidR="00877500">
        <w:t xml:space="preserve">specified </w:t>
      </w:r>
      <w:r w:rsidRPr="00255909">
        <w:t xml:space="preserve">waste stream should be audited. </w:t>
      </w:r>
      <w:r w:rsidR="00877500">
        <w:t>C</w:t>
      </w:r>
      <w:r w:rsidRPr="00255909">
        <w:t>olouring and labelling may di</w:t>
      </w:r>
      <w:r>
        <w:t>f</w:t>
      </w:r>
      <w:r w:rsidRPr="00255909">
        <w:t xml:space="preserve">fer between sites, wards, departments and health services. </w:t>
      </w:r>
    </w:p>
    <w:p w14:paraId="51461D29" w14:textId="77777777" w:rsidR="00493B5C" w:rsidRPr="004C4CAB" w:rsidRDefault="00493B5C" w:rsidP="00EA4313">
      <w:pPr>
        <w:pStyle w:val="Heading2"/>
      </w:pPr>
      <w:bookmarkStart w:id="6" w:name="_Toc515273298"/>
      <w:r w:rsidRPr="004C4CAB">
        <w:t>Sampling</w:t>
      </w:r>
      <w:bookmarkEnd w:id="6"/>
    </w:p>
    <w:p w14:paraId="09D9978C" w14:textId="70860C68" w:rsidR="00493B5C" w:rsidRPr="00255909" w:rsidRDefault="00493B5C" w:rsidP="00D501DB">
      <w:pPr>
        <w:pStyle w:val="DHHSbullet1"/>
      </w:pPr>
      <w:r w:rsidRPr="00FE3733">
        <w:rPr>
          <w:b/>
        </w:rPr>
        <w:t>All</w:t>
      </w:r>
      <w:r w:rsidRPr="00255909">
        <w:t xml:space="preserve"> </w:t>
      </w:r>
      <w:r w:rsidR="008A569F">
        <w:t xml:space="preserve">specified </w:t>
      </w:r>
      <w:r w:rsidRPr="00255909">
        <w:t xml:space="preserve">waste generated during the </w:t>
      </w:r>
      <w:r w:rsidR="006C4E56" w:rsidRPr="00255909">
        <w:t>24-hour</w:t>
      </w:r>
      <w:r w:rsidRPr="00255909">
        <w:t xml:space="preserve"> collection period </w:t>
      </w:r>
      <w:r w:rsidR="00F71A53">
        <w:t>must</w:t>
      </w:r>
      <w:r w:rsidR="00F71A53" w:rsidRPr="00255909">
        <w:t xml:space="preserve"> </w:t>
      </w:r>
      <w:r w:rsidRPr="00255909">
        <w:t>be audited.</w:t>
      </w:r>
    </w:p>
    <w:p w14:paraId="7B978DAD" w14:textId="77777777" w:rsidR="00493B5C" w:rsidRPr="00487626" w:rsidRDefault="00621D39" w:rsidP="00EA4313">
      <w:pPr>
        <w:pStyle w:val="Heading2"/>
      </w:pPr>
      <w:bookmarkStart w:id="7" w:name="_Toc515273299"/>
      <w:r>
        <w:t>Composition c</w:t>
      </w:r>
      <w:r w:rsidR="00493B5C" w:rsidRPr="004C4CAB">
        <w:t xml:space="preserve">ategories </w:t>
      </w:r>
      <w:r w:rsidR="00493B5C" w:rsidRPr="00FE3733">
        <w:rPr>
          <w:b w:val="0"/>
        </w:rPr>
        <w:t xml:space="preserve">(detailed descriptions in Appendix </w:t>
      </w:r>
      <w:r w:rsidR="00CE61A2" w:rsidRPr="00FE3733">
        <w:rPr>
          <w:b w:val="0"/>
        </w:rPr>
        <w:t>1</w:t>
      </w:r>
      <w:r w:rsidR="00493B5C" w:rsidRPr="00FE3733">
        <w:rPr>
          <w:b w:val="0"/>
        </w:rPr>
        <w:t>)</w:t>
      </w:r>
      <w:bookmarkEnd w:id="7"/>
    </w:p>
    <w:p w14:paraId="0023326B" w14:textId="79FC5CA8" w:rsidR="00493B5C" w:rsidRDefault="00493B5C" w:rsidP="00D501DB">
      <w:pPr>
        <w:pStyle w:val="DHHSbullet1"/>
      </w:pPr>
      <w:r>
        <w:t xml:space="preserve">The primary items identified within each category </w:t>
      </w:r>
      <w:r w:rsidR="00F71A53">
        <w:t xml:space="preserve">should </w:t>
      </w:r>
      <w:r>
        <w:t xml:space="preserve">be noted and each category photographed and discussed in </w:t>
      </w:r>
      <w:r w:rsidR="00F71A53">
        <w:t xml:space="preserve">the </w:t>
      </w:r>
      <w:r>
        <w:t xml:space="preserve">report. </w:t>
      </w:r>
    </w:p>
    <w:p w14:paraId="6151DD0E" w14:textId="5DA12551" w:rsidR="00493B5C" w:rsidRDefault="00493B5C" w:rsidP="00D501DB">
      <w:pPr>
        <w:pStyle w:val="DHHSbullet1"/>
      </w:pPr>
      <w:r>
        <w:lastRenderedPageBreak/>
        <w:t xml:space="preserve">Additional categories </w:t>
      </w:r>
      <w:r w:rsidR="002C039B">
        <w:t>may</w:t>
      </w:r>
      <w:r>
        <w:t xml:space="preserve"> be a</w:t>
      </w:r>
      <w:r w:rsidR="002C039B">
        <w:t>dded by individual h</w:t>
      </w:r>
      <w:r>
        <w:t>ealth</w:t>
      </w:r>
      <w:r w:rsidR="002C039B">
        <w:t xml:space="preserve"> </w:t>
      </w:r>
      <w:r w:rsidR="006C4E56">
        <w:t>services;</w:t>
      </w:r>
      <w:r>
        <w:t xml:space="preserve"> </w:t>
      </w:r>
      <w:r w:rsidR="00EE75CE">
        <w:t>however,</w:t>
      </w:r>
      <w:r>
        <w:t xml:space="preserve"> each addition must be justified </w:t>
      </w:r>
      <w:r w:rsidR="00487626">
        <w:t xml:space="preserve">within </w:t>
      </w:r>
      <w:r w:rsidR="006052CA">
        <w:t xml:space="preserve">the </w:t>
      </w:r>
      <w:r w:rsidR="00487626">
        <w:t xml:space="preserve">report </w:t>
      </w:r>
      <w:r>
        <w:t xml:space="preserve">and constitute </w:t>
      </w:r>
      <w:r w:rsidR="006052CA">
        <w:t xml:space="preserve">more than </w:t>
      </w:r>
      <w:r w:rsidR="008A569F">
        <w:t>5</w:t>
      </w:r>
      <w:r w:rsidR="00D501DB">
        <w:t xml:space="preserve"> per cent</w:t>
      </w:r>
      <w:r>
        <w:t xml:space="preserve"> of the waste stream. </w:t>
      </w:r>
    </w:p>
    <w:p w14:paraId="1C9A460B" w14:textId="0A218D83" w:rsidR="00493B5C" w:rsidRDefault="00C775AA" w:rsidP="00D501DB">
      <w:pPr>
        <w:pStyle w:val="DHHSbullet1"/>
      </w:pPr>
      <w:r>
        <w:t>C</w:t>
      </w:r>
      <w:r w:rsidR="00493B5C">
        <w:t xml:space="preserve">ategories </w:t>
      </w:r>
      <w:r>
        <w:t xml:space="preserve">are not to </w:t>
      </w:r>
      <w:r w:rsidR="00493B5C">
        <w:t xml:space="preserve">be removed from the list </w:t>
      </w:r>
      <w:r w:rsidR="006052CA">
        <w:t xml:space="preserve">because </w:t>
      </w:r>
      <w:r w:rsidR="00493B5C">
        <w:t>this will result in finding</w:t>
      </w:r>
      <w:r w:rsidR="002C039B">
        <w:t>s not being comparable between h</w:t>
      </w:r>
      <w:r w:rsidR="00493B5C">
        <w:t xml:space="preserve">ealth </w:t>
      </w:r>
      <w:r w:rsidR="002C039B">
        <w:t>s</w:t>
      </w:r>
      <w:r w:rsidR="00493B5C">
        <w:t>ervices.</w:t>
      </w:r>
    </w:p>
    <w:p w14:paraId="657DE1B2" w14:textId="77777777" w:rsidR="00487626" w:rsidRDefault="00621D39" w:rsidP="00EA4313">
      <w:pPr>
        <w:pStyle w:val="Heading2"/>
      </w:pPr>
      <w:r>
        <w:t>Waste c</w:t>
      </w:r>
      <w:r w:rsidR="00493B5C">
        <w:t>ategories</w:t>
      </w:r>
    </w:p>
    <w:p w14:paraId="2948515E" w14:textId="77777777" w:rsidR="00487626" w:rsidRDefault="00487626" w:rsidP="00D501DB">
      <w:pPr>
        <w:pStyle w:val="DHHSbullet1"/>
        <w:sectPr w:rsidR="00487626" w:rsidSect="004013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docGrid w:linePitch="360"/>
        </w:sectPr>
      </w:pPr>
    </w:p>
    <w:p w14:paraId="5666459C" w14:textId="77777777" w:rsidR="00493B5C" w:rsidRDefault="00493B5C" w:rsidP="00EE75CE">
      <w:pPr>
        <w:pStyle w:val="DHHStablebullet1"/>
        <w:ind w:left="567"/>
      </w:pPr>
      <w:bookmarkStart w:id="8" w:name="_Hlk536189390"/>
      <w:r>
        <w:t>Anatomical waste</w:t>
      </w:r>
    </w:p>
    <w:p w14:paraId="2C894FEF" w14:textId="5DBD4CB2" w:rsidR="00493B5C" w:rsidRDefault="00493B5C" w:rsidP="00EE75CE">
      <w:pPr>
        <w:pStyle w:val="DHHStablebullet1"/>
        <w:ind w:left="567"/>
      </w:pPr>
      <w:r w:rsidRPr="00255909">
        <w:t>Batteries</w:t>
      </w:r>
    </w:p>
    <w:p w14:paraId="653EFEFB" w14:textId="77777777" w:rsidR="00170E8B" w:rsidRDefault="00170E8B" w:rsidP="00170E8B">
      <w:pPr>
        <w:pStyle w:val="DHHStablebullet1"/>
        <w:ind w:left="567"/>
      </w:pPr>
      <w:r w:rsidRPr="00255909">
        <w:t>Clinical</w:t>
      </w:r>
      <w:r>
        <w:t xml:space="preserve"> waste</w:t>
      </w:r>
    </w:p>
    <w:p w14:paraId="2ACC4AA2" w14:textId="77777777" w:rsidR="00493B5C" w:rsidRPr="00255909" w:rsidRDefault="00493B5C" w:rsidP="00EE75CE">
      <w:pPr>
        <w:pStyle w:val="DHHStablebullet1"/>
        <w:ind w:left="567"/>
      </w:pPr>
      <w:r>
        <w:t>Confidential documents</w:t>
      </w:r>
    </w:p>
    <w:p w14:paraId="1B698920" w14:textId="77777777" w:rsidR="00493B5C" w:rsidRPr="00255909" w:rsidRDefault="00493B5C" w:rsidP="00EE75CE">
      <w:pPr>
        <w:pStyle w:val="DHHStablebullet1"/>
        <w:ind w:left="567"/>
      </w:pPr>
      <w:r w:rsidRPr="00255909">
        <w:t>E-waste</w:t>
      </w:r>
      <w:r>
        <w:t xml:space="preserve"> (itemised)</w:t>
      </w:r>
    </w:p>
    <w:p w14:paraId="3ABE4C7E" w14:textId="443EA272" w:rsidR="00493B5C" w:rsidRPr="00255909" w:rsidRDefault="00493B5C" w:rsidP="00EE75CE">
      <w:pPr>
        <w:pStyle w:val="DHHStablebullet1"/>
        <w:ind w:left="567"/>
      </w:pPr>
      <w:r w:rsidRPr="00255909">
        <w:t xml:space="preserve">Fluorescent </w:t>
      </w:r>
      <w:r w:rsidR="00D501DB">
        <w:t>b</w:t>
      </w:r>
      <w:r w:rsidRPr="00255909">
        <w:t>ulbs</w:t>
      </w:r>
    </w:p>
    <w:p w14:paraId="31895CA2" w14:textId="77777777" w:rsidR="00493B5C" w:rsidRPr="00255909" w:rsidRDefault="00493B5C" w:rsidP="00EE75CE">
      <w:pPr>
        <w:pStyle w:val="DHHStablebullet1"/>
        <w:ind w:left="567"/>
      </w:pPr>
      <w:r w:rsidRPr="00255909">
        <w:t>Food waste</w:t>
      </w:r>
    </w:p>
    <w:p w14:paraId="7DB38B0A" w14:textId="77777777" w:rsidR="00493B5C" w:rsidRPr="00255909" w:rsidRDefault="00493B5C" w:rsidP="00EE75CE">
      <w:pPr>
        <w:pStyle w:val="DHHStablebullet1"/>
        <w:ind w:left="567"/>
      </w:pPr>
      <w:r w:rsidRPr="00255909">
        <w:t>Furniture</w:t>
      </w:r>
    </w:p>
    <w:p w14:paraId="6BE9F6D1" w14:textId="77777777" w:rsidR="00493B5C" w:rsidRPr="00255909" w:rsidRDefault="00493B5C" w:rsidP="00EE75CE">
      <w:pPr>
        <w:pStyle w:val="DHHStablebullet1"/>
        <w:ind w:left="567"/>
      </w:pPr>
      <w:r w:rsidRPr="00255909">
        <w:t>Glass</w:t>
      </w:r>
    </w:p>
    <w:p w14:paraId="09AE9741" w14:textId="77777777" w:rsidR="00493B5C" w:rsidRPr="00255909" w:rsidRDefault="00493B5C" w:rsidP="00EE75CE">
      <w:pPr>
        <w:pStyle w:val="DHHStablebullet1"/>
        <w:ind w:left="567"/>
      </w:pPr>
      <w:r w:rsidRPr="00255909">
        <w:t>Hard plastic (</w:t>
      </w:r>
      <w:r>
        <w:t>non-medical items</w:t>
      </w:r>
      <w:r w:rsidRPr="00255909">
        <w:t>)</w:t>
      </w:r>
    </w:p>
    <w:p w14:paraId="09ED5EAD" w14:textId="77777777" w:rsidR="00493B5C" w:rsidRPr="00255909" w:rsidRDefault="00493B5C" w:rsidP="00EE75CE">
      <w:pPr>
        <w:pStyle w:val="DHHStablebullet1"/>
        <w:ind w:left="567"/>
      </w:pPr>
      <w:r w:rsidRPr="00255909">
        <w:t>Ice bricks</w:t>
      </w:r>
    </w:p>
    <w:p w14:paraId="7255BFF4" w14:textId="77777777" w:rsidR="00493B5C" w:rsidRPr="00255909" w:rsidRDefault="00493B5C" w:rsidP="00EE75CE">
      <w:pPr>
        <w:pStyle w:val="DHHStablebullet1"/>
        <w:ind w:left="567"/>
      </w:pPr>
      <w:r w:rsidRPr="00255909">
        <w:t>Metals</w:t>
      </w:r>
    </w:p>
    <w:p w14:paraId="5EB1DAD1" w14:textId="77777777" w:rsidR="00493B5C" w:rsidRPr="00255909" w:rsidRDefault="00493B5C" w:rsidP="00EE75CE">
      <w:pPr>
        <w:pStyle w:val="DHHStablebullet1"/>
        <w:ind w:left="567"/>
      </w:pPr>
      <w:r w:rsidRPr="00255909">
        <w:t>Paper/cardboard</w:t>
      </w:r>
    </w:p>
    <w:p w14:paraId="68246269" w14:textId="6ACC542E" w:rsidR="00493B5C" w:rsidRPr="00255909" w:rsidRDefault="00170E8B" w:rsidP="00EE75CE">
      <w:pPr>
        <w:pStyle w:val="DHHStablebullet1"/>
        <w:ind w:left="567"/>
      </w:pPr>
      <w:r>
        <w:t>Pharmaceutical waste</w:t>
      </w:r>
    </w:p>
    <w:p w14:paraId="56E031DB" w14:textId="77777777" w:rsidR="00493B5C" w:rsidRPr="00255909" w:rsidRDefault="00493B5C" w:rsidP="00EE75CE">
      <w:pPr>
        <w:pStyle w:val="DHHStablebullet1"/>
        <w:ind w:left="567"/>
      </w:pPr>
      <w:r w:rsidRPr="00255909">
        <w:t>Polystyrene</w:t>
      </w:r>
    </w:p>
    <w:p w14:paraId="71E584FC" w14:textId="1854277C" w:rsidR="00493B5C" w:rsidRPr="00255909" w:rsidRDefault="00493B5C" w:rsidP="00EE75CE">
      <w:pPr>
        <w:pStyle w:val="DHHStablebullet1"/>
        <w:ind w:left="567"/>
      </w:pPr>
      <w:r w:rsidRPr="00255909">
        <w:t xml:space="preserve">Printer and </w:t>
      </w:r>
      <w:r w:rsidR="00D501DB">
        <w:t>t</w:t>
      </w:r>
      <w:r w:rsidRPr="00255909">
        <w:t xml:space="preserve">oner </w:t>
      </w:r>
      <w:r w:rsidR="00D501DB">
        <w:t>c</w:t>
      </w:r>
      <w:r w:rsidRPr="00255909">
        <w:t>artridges</w:t>
      </w:r>
    </w:p>
    <w:p w14:paraId="0D2B9D01" w14:textId="77777777" w:rsidR="00493B5C" w:rsidRPr="00255909" w:rsidRDefault="00493B5C" w:rsidP="00EE75CE">
      <w:pPr>
        <w:pStyle w:val="DHHStablebullet1"/>
        <w:ind w:left="567"/>
      </w:pPr>
      <w:r w:rsidRPr="00255909">
        <w:t>PVC</w:t>
      </w:r>
    </w:p>
    <w:p w14:paraId="5D32E0BD" w14:textId="1F4BE2E7" w:rsidR="00493B5C" w:rsidRDefault="00493B5C" w:rsidP="00EE75CE">
      <w:pPr>
        <w:pStyle w:val="DHHStablebullet1"/>
        <w:ind w:left="567"/>
      </w:pPr>
      <w:r w:rsidRPr="00255909">
        <w:t>Single</w:t>
      </w:r>
      <w:r w:rsidR="00D501DB">
        <w:t>-</w:t>
      </w:r>
      <w:r w:rsidR="00170E8B">
        <w:t>use metal instruments</w:t>
      </w:r>
    </w:p>
    <w:p w14:paraId="03E4A767" w14:textId="618E52D0" w:rsidR="00493B5C" w:rsidRPr="00255909" w:rsidRDefault="00493B5C" w:rsidP="00EE75CE">
      <w:pPr>
        <w:pStyle w:val="DHHStablebullet1"/>
        <w:ind w:left="567"/>
      </w:pPr>
      <w:r>
        <w:t>Sharps</w:t>
      </w:r>
      <w:r w:rsidR="00170E8B">
        <w:t xml:space="preserve"> waste</w:t>
      </w:r>
    </w:p>
    <w:p w14:paraId="75F6CDBE" w14:textId="77777777" w:rsidR="00493B5C" w:rsidRPr="00255909" w:rsidRDefault="00493B5C" w:rsidP="00EE75CE">
      <w:pPr>
        <w:pStyle w:val="DHHStablebullet1"/>
        <w:ind w:left="567"/>
      </w:pPr>
      <w:r w:rsidRPr="00255909">
        <w:t>Soft plastic (other than PVC)</w:t>
      </w:r>
    </w:p>
    <w:p w14:paraId="183FDC20" w14:textId="77777777" w:rsidR="00493B5C" w:rsidRPr="00255909" w:rsidRDefault="00493B5C" w:rsidP="00EE75CE">
      <w:pPr>
        <w:pStyle w:val="DHHStablebullet1"/>
        <w:ind w:left="567"/>
      </w:pPr>
      <w:r w:rsidRPr="00255909">
        <w:t>Sterilisation wraps (Kimguard)</w:t>
      </w:r>
    </w:p>
    <w:p w14:paraId="64EC72E4" w14:textId="77777777" w:rsidR="00493B5C" w:rsidRPr="00255909" w:rsidRDefault="00493B5C" w:rsidP="00EE75CE">
      <w:pPr>
        <w:pStyle w:val="DHHStablebullet1"/>
        <w:ind w:left="567"/>
      </w:pPr>
      <w:r w:rsidRPr="00255909">
        <w:t>Textiles</w:t>
      </w:r>
    </w:p>
    <w:p w14:paraId="5E0088AA" w14:textId="3E7A4474" w:rsidR="00493B5C" w:rsidRDefault="00493B5C" w:rsidP="00EE75CE">
      <w:pPr>
        <w:pStyle w:val="DHHStablebullet1"/>
        <w:ind w:left="567"/>
      </w:pPr>
      <w:r w:rsidRPr="00255909">
        <w:t xml:space="preserve">Unused </w:t>
      </w:r>
      <w:r w:rsidR="00170E8B">
        <w:t>items</w:t>
      </w:r>
      <w:r w:rsidRPr="00255909">
        <w:t xml:space="preserve"> </w:t>
      </w:r>
      <w:r>
        <w:t xml:space="preserve">(materials </w:t>
      </w:r>
      <w:r w:rsidR="005448A0">
        <w:t>itemised,</w:t>
      </w:r>
      <w:r>
        <w:t xml:space="preserve"> and value estimated)</w:t>
      </w:r>
      <w:r w:rsidR="00633840">
        <w:t xml:space="preserve"> </w:t>
      </w:r>
      <w:r w:rsidRPr="00255909">
        <w:t> </w:t>
      </w:r>
    </w:p>
    <w:p w14:paraId="5587DAEA" w14:textId="48CF0D5F" w:rsidR="00493B5C" w:rsidRPr="004C4CAB" w:rsidRDefault="00493B5C" w:rsidP="00EE75CE">
      <w:pPr>
        <w:pStyle w:val="DHHStablebullet1"/>
        <w:ind w:left="567"/>
      </w:pPr>
      <w:r w:rsidRPr="00255909">
        <w:t xml:space="preserve">Other </w:t>
      </w:r>
      <w:bookmarkEnd w:id="8"/>
      <w:r w:rsidRPr="00255909">
        <w:t>(</w:t>
      </w:r>
      <w:r w:rsidR="00877500">
        <w:t xml:space="preserve">list </w:t>
      </w:r>
      <w:r w:rsidRPr="00255909">
        <w:t xml:space="preserve">main items </w:t>
      </w:r>
      <w:r w:rsidR="00877500">
        <w:t xml:space="preserve">identified </w:t>
      </w:r>
      <w:r w:rsidRPr="00255909">
        <w:t xml:space="preserve">within this </w:t>
      </w:r>
      <w:r>
        <w:t>ca</w:t>
      </w:r>
      <w:r w:rsidRPr="00255909">
        <w:t>tegory</w:t>
      </w:r>
      <w:r w:rsidR="006052CA">
        <w:t>;</w:t>
      </w:r>
      <w:r w:rsidR="00C775AA">
        <w:t xml:space="preserve"> no weight/volume required</w:t>
      </w:r>
      <w:r w:rsidRPr="00255909">
        <w:t>)</w:t>
      </w:r>
    </w:p>
    <w:p w14:paraId="57E63832" w14:textId="77777777" w:rsidR="00487626" w:rsidRDefault="00487626" w:rsidP="00D501DB">
      <w:pPr>
        <w:pStyle w:val="DHHSbullet1"/>
        <w:numPr>
          <w:ilvl w:val="0"/>
          <w:numId w:val="0"/>
        </w:numPr>
      </w:pPr>
    </w:p>
    <w:p w14:paraId="3606B34D" w14:textId="77777777" w:rsidR="00487626" w:rsidRDefault="00487626" w:rsidP="00D501DB">
      <w:pPr>
        <w:pStyle w:val="DHHSbullet1"/>
        <w:numPr>
          <w:ilvl w:val="0"/>
          <w:numId w:val="0"/>
        </w:numPr>
        <w:ind w:left="284"/>
        <w:sectPr w:rsidR="00487626" w:rsidSect="00487626">
          <w:type w:val="continuous"/>
          <w:pgSz w:w="11906" w:h="16838" w:code="9"/>
          <w:pgMar w:top="1418" w:right="851" w:bottom="1134" w:left="851" w:header="567" w:footer="510" w:gutter="0"/>
          <w:cols w:num="2" w:space="340"/>
          <w:docGrid w:linePitch="360"/>
        </w:sectPr>
      </w:pPr>
    </w:p>
    <w:p w14:paraId="3A196258" w14:textId="77777777" w:rsidR="00487626" w:rsidRDefault="00487626" w:rsidP="00EA4313">
      <w:pPr>
        <w:pStyle w:val="Heading2"/>
      </w:pPr>
      <w:r>
        <w:t xml:space="preserve">Data </w:t>
      </w:r>
      <w:r w:rsidR="00621D39">
        <w:t>collection r</w:t>
      </w:r>
      <w:r w:rsidR="00CE61A2">
        <w:t>equirements</w:t>
      </w:r>
      <w:r w:rsidR="00704D14">
        <w:t xml:space="preserve"> </w:t>
      </w:r>
      <w:r w:rsidR="00704D14" w:rsidRPr="00FE3733">
        <w:rPr>
          <w:b w:val="0"/>
        </w:rPr>
        <w:t>(audit sheet template in Appendix 4)</w:t>
      </w:r>
    </w:p>
    <w:p w14:paraId="7ADEADD8" w14:textId="690390CF" w:rsidR="00493B5C" w:rsidRPr="00255909" w:rsidRDefault="00493B5C" w:rsidP="00D501DB">
      <w:pPr>
        <w:pStyle w:val="DHHSbullet1"/>
      </w:pPr>
      <w:r w:rsidRPr="00255909">
        <w:t>Total weight (level of accuracy 100</w:t>
      </w:r>
      <w:r w:rsidR="00F71A53">
        <w:t xml:space="preserve"> </w:t>
      </w:r>
      <w:r w:rsidRPr="00255909">
        <w:t>g</w:t>
      </w:r>
      <w:r w:rsidR="00773455">
        <w:t>rams</w:t>
      </w:r>
      <w:r w:rsidRPr="00255909">
        <w:t xml:space="preserve">) and volume </w:t>
      </w:r>
      <w:r w:rsidR="00CE61A2">
        <w:t xml:space="preserve">(estimation protocols </w:t>
      </w:r>
      <w:r w:rsidR="00400965">
        <w:t xml:space="preserve">in </w:t>
      </w:r>
      <w:r w:rsidR="00CE61A2">
        <w:t>Appendix 2</w:t>
      </w:r>
      <w:r w:rsidRPr="00255909">
        <w:t>)</w:t>
      </w:r>
      <w:r w:rsidR="00704D14">
        <w:t xml:space="preserve"> of each waste category</w:t>
      </w:r>
      <w:r w:rsidR="00773455">
        <w:t>.</w:t>
      </w:r>
    </w:p>
    <w:p w14:paraId="4BC03C8A" w14:textId="687A93E7" w:rsidR="00493B5C" w:rsidRPr="00255909" w:rsidRDefault="00493B5C" w:rsidP="00D501DB">
      <w:pPr>
        <w:pStyle w:val="DHHSbullet1"/>
      </w:pPr>
      <w:r w:rsidRPr="00255909">
        <w:t xml:space="preserve">Composition of </w:t>
      </w:r>
      <w:r w:rsidR="00704D14">
        <w:t xml:space="preserve">specified </w:t>
      </w:r>
      <w:r w:rsidRPr="00255909">
        <w:t>waste stream by weight and volume (%)</w:t>
      </w:r>
      <w:r w:rsidR="00773455">
        <w:t>.</w:t>
      </w:r>
    </w:p>
    <w:p w14:paraId="1E0F21D1" w14:textId="44CB29DC" w:rsidR="00487626" w:rsidRDefault="00493B5C" w:rsidP="00FE3733">
      <w:pPr>
        <w:pStyle w:val="DHHSbullet1"/>
        <w:sectPr w:rsidR="00487626" w:rsidSect="00487626">
          <w:type w:val="continuous"/>
          <w:pgSz w:w="11906" w:h="16838" w:code="9"/>
          <w:pgMar w:top="1418" w:right="851" w:bottom="1134" w:left="851" w:header="567" w:footer="510" w:gutter="0"/>
          <w:cols w:space="340"/>
          <w:docGrid w:linePitch="360"/>
        </w:sectPr>
      </w:pPr>
      <w:r w:rsidRPr="00255909">
        <w:t>Weigh</w:t>
      </w:r>
      <w:r w:rsidR="00487626">
        <w:t>t</w:t>
      </w:r>
      <w:r w:rsidRPr="00255909">
        <w:t xml:space="preserve"> and volume </w:t>
      </w:r>
      <w:r w:rsidR="00487626">
        <w:t xml:space="preserve">of </w:t>
      </w:r>
      <w:r w:rsidR="00704D14">
        <w:t xml:space="preserve">specified </w:t>
      </w:r>
      <w:r w:rsidR="00487626">
        <w:t xml:space="preserve">waste stream </w:t>
      </w:r>
      <w:r w:rsidRPr="00255909">
        <w:t xml:space="preserve">per </w:t>
      </w:r>
      <w:r w:rsidR="00AF604D">
        <w:t>patient treated</w:t>
      </w:r>
      <w:r w:rsidR="00862E27">
        <w:rPr>
          <w:rStyle w:val="FootnoteReference"/>
        </w:rPr>
        <w:footnoteReference w:id="2"/>
      </w:r>
      <w:r w:rsidR="00773455">
        <w:t>.</w:t>
      </w:r>
      <w:bookmarkStart w:id="9" w:name="_Toc515273301"/>
    </w:p>
    <w:p w14:paraId="45910F24" w14:textId="77777777" w:rsidR="00493B5C" w:rsidRPr="004C4CAB" w:rsidRDefault="00621D39" w:rsidP="00EA4313">
      <w:pPr>
        <w:pStyle w:val="Heading2"/>
      </w:pPr>
      <w:r>
        <w:t>Confidentiality and s</w:t>
      </w:r>
      <w:r w:rsidR="00493B5C" w:rsidRPr="004C4CAB">
        <w:t>ecurity</w:t>
      </w:r>
      <w:bookmarkEnd w:id="9"/>
    </w:p>
    <w:p w14:paraId="68FEA51A" w14:textId="14E6F82B" w:rsidR="00493B5C" w:rsidRPr="00255909" w:rsidRDefault="00493B5C" w:rsidP="00493B5C">
      <w:pPr>
        <w:pStyle w:val="DHHSbody"/>
      </w:pPr>
      <w:r w:rsidRPr="00255909">
        <w:t>H</w:t>
      </w:r>
      <w:r w:rsidR="002C039B">
        <w:t>ealth s</w:t>
      </w:r>
      <w:r w:rsidRPr="00255909">
        <w:t>ervice</w:t>
      </w:r>
      <w:r w:rsidR="00400965">
        <w:t>s</w:t>
      </w:r>
      <w:r w:rsidRPr="00255909">
        <w:t xml:space="preserve"> retain exclusive ownership of </w:t>
      </w:r>
      <w:r w:rsidR="00400965">
        <w:t xml:space="preserve">their </w:t>
      </w:r>
      <w:r w:rsidRPr="00255909">
        <w:t>intellectual property resulting from the audit. These results are not to be discussed with outside parties without prior permission from</w:t>
      </w:r>
      <w:r>
        <w:t xml:space="preserve"> the</w:t>
      </w:r>
      <w:r w:rsidR="00CA6EA7">
        <w:t xml:space="preserve"> h</w:t>
      </w:r>
      <w:r w:rsidRPr="00255909">
        <w:t xml:space="preserve">ealth </w:t>
      </w:r>
      <w:r w:rsidR="00CA6EA7">
        <w:t>s</w:t>
      </w:r>
      <w:r w:rsidRPr="00255909">
        <w:t>ervice.</w:t>
      </w:r>
    </w:p>
    <w:p w14:paraId="0C10CC29" w14:textId="015559ED" w:rsidR="00493B5C" w:rsidRPr="00255909" w:rsidRDefault="00CE61A2" w:rsidP="00493B5C">
      <w:pPr>
        <w:pStyle w:val="DHHSbody"/>
      </w:pPr>
      <w:r>
        <w:t>The audited h</w:t>
      </w:r>
      <w:r w:rsidR="00493B5C" w:rsidRPr="00255909">
        <w:t xml:space="preserve">ealth </w:t>
      </w:r>
      <w:r>
        <w:t>s</w:t>
      </w:r>
      <w:r w:rsidR="00493B5C" w:rsidRPr="00255909">
        <w:t>ervice is responsible for destr</w:t>
      </w:r>
      <w:r w:rsidR="00400965">
        <w:t>oying</w:t>
      </w:r>
      <w:r w:rsidR="00493B5C" w:rsidRPr="00255909">
        <w:t xml:space="preserve"> any confidential paperwork</w:t>
      </w:r>
      <w:r w:rsidR="00400965">
        <w:t xml:space="preserve"> and for</w:t>
      </w:r>
      <w:r w:rsidR="00493B5C" w:rsidRPr="00255909">
        <w:t xml:space="preserve"> identifying documents or clinical waste found during the audit process. </w:t>
      </w:r>
      <w:r w:rsidR="00400965">
        <w:t>T</w:t>
      </w:r>
      <w:r w:rsidR="00493B5C" w:rsidRPr="00255909">
        <w:t xml:space="preserve">hese items </w:t>
      </w:r>
      <w:r w:rsidR="00493B5C">
        <w:t>must</w:t>
      </w:r>
      <w:r w:rsidR="00493B5C" w:rsidRPr="00255909">
        <w:t xml:space="preserve"> be returned to the department/ward </w:t>
      </w:r>
      <w:r w:rsidR="00493B5C">
        <w:t>of</w:t>
      </w:r>
      <w:r w:rsidR="00493B5C" w:rsidRPr="00255909">
        <w:t xml:space="preserve"> origin.</w:t>
      </w:r>
    </w:p>
    <w:p w14:paraId="7B750214" w14:textId="77777777" w:rsidR="00493B5C" w:rsidRDefault="00621D39" w:rsidP="00EA4313">
      <w:pPr>
        <w:pStyle w:val="Heading1"/>
      </w:pPr>
      <w:bookmarkStart w:id="10" w:name="_Toc2000846"/>
      <w:r>
        <w:t>Responsibilities of a</w:t>
      </w:r>
      <w:r w:rsidR="00493B5C">
        <w:t>uditor</w:t>
      </w:r>
      <w:bookmarkEnd w:id="10"/>
    </w:p>
    <w:p w14:paraId="52DDBA84" w14:textId="77777777" w:rsidR="00CE61A2" w:rsidRPr="00CE61A2" w:rsidRDefault="00CE61A2" w:rsidP="00CE61A2">
      <w:pPr>
        <w:pStyle w:val="DHHSbody"/>
      </w:pPr>
      <w:r>
        <w:t xml:space="preserve">A detailed checklist </w:t>
      </w:r>
      <w:r w:rsidR="00CA6EA7">
        <w:t>of auditor responsibilities can be found in Appendix 3</w:t>
      </w:r>
      <w:r>
        <w:t>.</w:t>
      </w:r>
    </w:p>
    <w:p w14:paraId="1F494088" w14:textId="77777777" w:rsidR="00493B5C" w:rsidRDefault="00621D39" w:rsidP="00EA4313">
      <w:pPr>
        <w:pStyle w:val="Heading2"/>
      </w:pPr>
      <w:bookmarkStart w:id="11" w:name="_Toc515273303"/>
      <w:r>
        <w:t>Auditor c</w:t>
      </w:r>
      <w:r w:rsidR="00493B5C" w:rsidRPr="004C4CAB">
        <w:t>ompetenc</w:t>
      </w:r>
      <w:r w:rsidR="00493B5C">
        <w:t>ies</w:t>
      </w:r>
      <w:bookmarkEnd w:id="11"/>
    </w:p>
    <w:p w14:paraId="583D6E6E" w14:textId="7C532C77" w:rsidR="00493B5C" w:rsidRPr="0067474B" w:rsidRDefault="00400965" w:rsidP="00D501DB">
      <w:pPr>
        <w:pStyle w:val="DHHSbullet1"/>
      </w:pPr>
      <w:r>
        <w:t>Health services may request a</w:t>
      </w:r>
      <w:r w:rsidR="00493B5C">
        <w:t xml:space="preserve">uditor </w:t>
      </w:r>
      <w:r w:rsidR="00CA6EA7">
        <w:t>references</w:t>
      </w:r>
      <w:r w:rsidR="00493B5C">
        <w:t>.</w:t>
      </w:r>
    </w:p>
    <w:p w14:paraId="47C267AC" w14:textId="1DDDDE9F" w:rsidR="00493B5C" w:rsidRPr="00255909" w:rsidRDefault="00400965" w:rsidP="00D501DB">
      <w:pPr>
        <w:pStyle w:val="DHHSbullet1"/>
      </w:pPr>
      <w:r>
        <w:t>The a</w:t>
      </w:r>
      <w:r w:rsidR="00493B5C" w:rsidRPr="00255909">
        <w:t xml:space="preserve">uditor must be willing and able to adopt best practice auditing </w:t>
      </w:r>
      <w:r w:rsidR="00493B5C">
        <w:t xml:space="preserve">processes and </w:t>
      </w:r>
      <w:r>
        <w:t xml:space="preserve">the audit </w:t>
      </w:r>
      <w:r w:rsidR="00493B5C">
        <w:t xml:space="preserve">scope </w:t>
      </w:r>
      <w:r w:rsidR="00493B5C" w:rsidRPr="00255909">
        <w:t xml:space="preserve">according to </w:t>
      </w:r>
      <w:r w:rsidR="00FA5737">
        <w:t xml:space="preserve">these </w:t>
      </w:r>
      <w:r w:rsidR="00CA6EA7">
        <w:rPr>
          <w:i/>
        </w:rPr>
        <w:t>Health s</w:t>
      </w:r>
      <w:r w:rsidR="00493B5C" w:rsidRPr="00CA6EA7">
        <w:rPr>
          <w:i/>
        </w:rPr>
        <w:t>ervice</w:t>
      </w:r>
      <w:r w:rsidR="00CA6EA7">
        <w:rPr>
          <w:i/>
        </w:rPr>
        <w:t xml:space="preserve"> w</w:t>
      </w:r>
      <w:r w:rsidR="00493B5C" w:rsidRPr="00CA6EA7">
        <w:rPr>
          <w:i/>
        </w:rPr>
        <w:t>aste</w:t>
      </w:r>
      <w:r w:rsidR="00CA6EA7">
        <w:rPr>
          <w:i/>
        </w:rPr>
        <w:t xml:space="preserve"> audit g</w:t>
      </w:r>
      <w:r w:rsidR="00493B5C" w:rsidRPr="00CA6EA7">
        <w:rPr>
          <w:i/>
        </w:rPr>
        <w:t>uidelines.</w:t>
      </w:r>
    </w:p>
    <w:p w14:paraId="0810190A" w14:textId="77777777" w:rsidR="00493B5C" w:rsidRPr="00255909" w:rsidRDefault="00621D39" w:rsidP="00EA4313">
      <w:pPr>
        <w:pStyle w:val="Heading2"/>
      </w:pPr>
      <w:bookmarkStart w:id="12" w:name="_Toc515273304"/>
      <w:r>
        <w:t>Accuracy and e</w:t>
      </w:r>
      <w:r w:rsidR="00493B5C" w:rsidRPr="00255909">
        <w:t>stimation</w:t>
      </w:r>
      <w:bookmarkEnd w:id="12"/>
    </w:p>
    <w:p w14:paraId="6C9D4928" w14:textId="49D99CA7" w:rsidR="00493B5C" w:rsidRPr="00255909" w:rsidRDefault="00493B5C" w:rsidP="00D501DB">
      <w:pPr>
        <w:pStyle w:val="DHHSbullet1"/>
      </w:pPr>
      <w:r w:rsidRPr="00255909">
        <w:t xml:space="preserve">All scales </w:t>
      </w:r>
      <w:r w:rsidR="00B96C0E">
        <w:t>must</w:t>
      </w:r>
      <w:r w:rsidR="00B96C0E" w:rsidRPr="00255909">
        <w:t xml:space="preserve"> </w:t>
      </w:r>
      <w:r w:rsidRPr="00255909">
        <w:t xml:space="preserve">be calibrated </w:t>
      </w:r>
      <w:r w:rsidR="00B96C0E">
        <w:t xml:space="preserve">before beginning </w:t>
      </w:r>
      <w:r w:rsidRPr="00255909">
        <w:t>the audit.</w:t>
      </w:r>
    </w:p>
    <w:p w14:paraId="690C6A08" w14:textId="20F05478" w:rsidR="00493B5C" w:rsidRPr="00255909" w:rsidRDefault="00493B5C" w:rsidP="00D501DB">
      <w:pPr>
        <w:pStyle w:val="DHHSbullet1"/>
      </w:pPr>
      <w:r w:rsidRPr="00255909">
        <w:lastRenderedPageBreak/>
        <w:t xml:space="preserve">The weight of all containers used to </w:t>
      </w:r>
      <w:r w:rsidR="006C4E56" w:rsidRPr="00255909">
        <w:t>collect</w:t>
      </w:r>
      <w:r w:rsidRPr="00255909">
        <w:t xml:space="preserve"> and weigh waste categories must be noted</w:t>
      </w:r>
      <w:r w:rsidR="00834C52">
        <w:t xml:space="preserve"> before beginning the </w:t>
      </w:r>
      <w:r w:rsidRPr="00255909">
        <w:t xml:space="preserve">audit </w:t>
      </w:r>
      <w:r w:rsidR="006C4E56" w:rsidRPr="00255909">
        <w:t>for</w:t>
      </w:r>
      <w:r w:rsidRPr="00255909">
        <w:t xml:space="preserve"> </w:t>
      </w:r>
      <w:r w:rsidR="00834C52">
        <w:t xml:space="preserve">the </w:t>
      </w:r>
      <w:r w:rsidRPr="00255909">
        <w:t xml:space="preserve">net weight </w:t>
      </w:r>
      <w:r w:rsidR="00862E27">
        <w:t xml:space="preserve">of waste </w:t>
      </w:r>
      <w:r w:rsidRPr="00255909">
        <w:t>to be established.</w:t>
      </w:r>
    </w:p>
    <w:p w14:paraId="1C4CA154" w14:textId="77777777" w:rsidR="00493B5C" w:rsidRPr="004C4CAB" w:rsidRDefault="00493B5C" w:rsidP="00EA4313">
      <w:pPr>
        <w:pStyle w:val="Heading2"/>
      </w:pPr>
      <w:bookmarkStart w:id="13" w:name="_Toc515273305"/>
      <w:r w:rsidRPr="004C4CAB">
        <w:t>Report</w:t>
      </w:r>
      <w:r w:rsidR="00621D39">
        <w:t xml:space="preserve"> c</w:t>
      </w:r>
      <w:r>
        <w:t>ontent</w:t>
      </w:r>
      <w:bookmarkEnd w:id="13"/>
    </w:p>
    <w:p w14:paraId="42D5E6FC" w14:textId="3EE533AB" w:rsidR="00493B5C" w:rsidRPr="00255909" w:rsidRDefault="00493B5C" w:rsidP="00D501DB">
      <w:pPr>
        <w:pStyle w:val="DHHSbullet1"/>
      </w:pPr>
      <w:r>
        <w:t xml:space="preserve">Executive </w:t>
      </w:r>
      <w:r w:rsidR="00EA4313">
        <w:t>s</w:t>
      </w:r>
      <w:r w:rsidRPr="00255909">
        <w:t>ummary</w:t>
      </w:r>
    </w:p>
    <w:p w14:paraId="230B38BA" w14:textId="77777777" w:rsidR="00493B5C" w:rsidRPr="00255909" w:rsidRDefault="00493B5C" w:rsidP="00D501DB">
      <w:pPr>
        <w:pStyle w:val="DHHSbullet1"/>
      </w:pPr>
      <w:r w:rsidRPr="00255909">
        <w:t>Methodology</w:t>
      </w:r>
    </w:p>
    <w:p w14:paraId="008BEF9F" w14:textId="79FC0A2C" w:rsidR="00493B5C" w:rsidRPr="00255909" w:rsidRDefault="00493B5C" w:rsidP="00D501DB">
      <w:pPr>
        <w:pStyle w:val="DHHSbullet1"/>
      </w:pPr>
      <w:r w:rsidRPr="00255909">
        <w:t xml:space="preserve">Data for each department/ward </w:t>
      </w:r>
      <w:r w:rsidR="00EE75CE">
        <w:t>t</w:t>
      </w:r>
      <w:r w:rsidRPr="00255909">
        <w:t>o include:</w:t>
      </w:r>
    </w:p>
    <w:p w14:paraId="13745525" w14:textId="204C101B" w:rsidR="00493B5C" w:rsidRPr="00255909" w:rsidRDefault="00834C52" w:rsidP="00D501DB">
      <w:pPr>
        <w:pStyle w:val="DHHSbullet1"/>
        <w:numPr>
          <w:ilvl w:val="1"/>
          <w:numId w:val="8"/>
        </w:numPr>
      </w:pPr>
      <w:r>
        <w:t>t</w:t>
      </w:r>
      <w:r w:rsidR="00493B5C" w:rsidRPr="00255909">
        <w:t>otal weight (level of accuracy 100</w:t>
      </w:r>
      <w:r w:rsidR="00EA4313">
        <w:t xml:space="preserve"> </w:t>
      </w:r>
      <w:r w:rsidR="00493B5C" w:rsidRPr="00255909">
        <w:t>g</w:t>
      </w:r>
      <w:r w:rsidR="00FA5737">
        <w:t>rams</w:t>
      </w:r>
      <w:r w:rsidR="00493B5C" w:rsidRPr="00255909">
        <w:t>) and volume (estimation protoc</w:t>
      </w:r>
      <w:r w:rsidR="00CA6EA7">
        <w:t>ols</w:t>
      </w:r>
      <w:r w:rsidR="00B96C0E">
        <w:t xml:space="preserve"> in</w:t>
      </w:r>
      <w:r w:rsidR="00CA6EA7">
        <w:t xml:space="preserve"> Appendix 2</w:t>
      </w:r>
      <w:r w:rsidR="00493B5C" w:rsidRPr="00255909">
        <w:t>)</w:t>
      </w:r>
      <w:r w:rsidR="00493B5C">
        <w:t xml:space="preserve"> of </w:t>
      </w:r>
      <w:r w:rsidR="00B96C0E">
        <w:t xml:space="preserve">the </w:t>
      </w:r>
      <w:r w:rsidR="00CA6EA7">
        <w:t xml:space="preserve">specified </w:t>
      </w:r>
      <w:r w:rsidR="00493B5C">
        <w:t>waste stream</w:t>
      </w:r>
    </w:p>
    <w:p w14:paraId="70F330A0" w14:textId="62C1F5CF" w:rsidR="00493B5C" w:rsidRPr="00255909" w:rsidRDefault="00834C52" w:rsidP="00D501DB">
      <w:pPr>
        <w:pStyle w:val="DHHSbullet1"/>
        <w:numPr>
          <w:ilvl w:val="1"/>
          <w:numId w:val="8"/>
        </w:numPr>
      </w:pPr>
      <w:r>
        <w:t>c</w:t>
      </w:r>
      <w:r w:rsidR="00493B5C" w:rsidRPr="00255909">
        <w:t xml:space="preserve">omposition of </w:t>
      </w:r>
      <w:r w:rsidR="00B96C0E">
        <w:t xml:space="preserve">the </w:t>
      </w:r>
      <w:r w:rsidR="00CA6EA7">
        <w:t xml:space="preserve">specified </w:t>
      </w:r>
      <w:r w:rsidR="00493B5C" w:rsidRPr="00255909">
        <w:t>waste stream by weight and volume (%)</w:t>
      </w:r>
    </w:p>
    <w:p w14:paraId="3C9D5AB5" w14:textId="73A0F931" w:rsidR="00493B5C" w:rsidRDefault="00834C52" w:rsidP="00EE75CE">
      <w:pPr>
        <w:pStyle w:val="DHHSbullet2"/>
        <w:ind w:left="1134"/>
      </w:pPr>
      <w:r>
        <w:t>w</w:t>
      </w:r>
      <w:r w:rsidR="00493B5C" w:rsidRPr="00255909">
        <w:t>eigh</w:t>
      </w:r>
      <w:r w:rsidR="00162326">
        <w:t>t</w:t>
      </w:r>
      <w:r w:rsidR="00493B5C" w:rsidRPr="00255909">
        <w:t xml:space="preserve"> and volume </w:t>
      </w:r>
      <w:r w:rsidR="00CE61A2">
        <w:t xml:space="preserve">of </w:t>
      </w:r>
      <w:r w:rsidR="00B96C0E">
        <w:t xml:space="preserve">the </w:t>
      </w:r>
      <w:r w:rsidR="00CA6EA7">
        <w:t xml:space="preserve">specified </w:t>
      </w:r>
      <w:r w:rsidR="00CE61A2">
        <w:t xml:space="preserve">waste stream </w:t>
      </w:r>
      <w:r w:rsidR="00162326" w:rsidRPr="00255909">
        <w:t xml:space="preserve">per </w:t>
      </w:r>
      <w:r w:rsidR="00162326">
        <w:t>patient treated</w:t>
      </w:r>
    </w:p>
    <w:p w14:paraId="7BAD9543" w14:textId="7DA961B1" w:rsidR="00493B5C" w:rsidRDefault="00834C52" w:rsidP="00F2626A">
      <w:pPr>
        <w:pStyle w:val="DHHSbullet2"/>
        <w:numPr>
          <w:ilvl w:val="1"/>
          <w:numId w:val="8"/>
        </w:numPr>
        <w:ind w:left="1134"/>
      </w:pPr>
      <w:r>
        <w:t>s</w:t>
      </w:r>
      <w:r w:rsidR="00493B5C">
        <w:t>ample i</w:t>
      </w:r>
      <w:r w:rsidR="00493B5C" w:rsidRPr="00255909">
        <w:t xml:space="preserve">mages of each waste </w:t>
      </w:r>
      <w:r w:rsidR="00493B5C">
        <w:t>stream</w:t>
      </w:r>
    </w:p>
    <w:p w14:paraId="4D441E6E" w14:textId="6A2292D1" w:rsidR="00493B5C" w:rsidRDefault="00834C52" w:rsidP="00F2626A">
      <w:pPr>
        <w:pStyle w:val="DHHSbullet2"/>
        <w:numPr>
          <w:ilvl w:val="1"/>
          <w:numId w:val="8"/>
        </w:numPr>
        <w:ind w:left="1134"/>
      </w:pPr>
      <w:r>
        <w:t>l</w:t>
      </w:r>
      <w:r w:rsidR="00493B5C">
        <w:t xml:space="preserve">ist </w:t>
      </w:r>
      <w:r w:rsidR="00CA6EA7">
        <w:t>of primary items identified in waste categories: ‘E-waste’, ‘Unused materials’ and ‘Other’</w:t>
      </w:r>
    </w:p>
    <w:p w14:paraId="49503BCD" w14:textId="560CDDC1" w:rsidR="00CA6EA7" w:rsidRPr="00255909" w:rsidRDefault="00B96C0E" w:rsidP="00F2626A">
      <w:pPr>
        <w:pStyle w:val="DHHSbullet2"/>
        <w:numPr>
          <w:ilvl w:val="1"/>
          <w:numId w:val="8"/>
        </w:numPr>
        <w:ind w:left="1134"/>
      </w:pPr>
      <w:r>
        <w:t xml:space="preserve">the </w:t>
      </w:r>
      <w:r w:rsidR="00834C52">
        <w:t>e</w:t>
      </w:r>
      <w:r w:rsidR="00CA6EA7">
        <w:t xml:space="preserve">stimated value of items identified in </w:t>
      </w:r>
      <w:r>
        <w:t xml:space="preserve">the </w:t>
      </w:r>
      <w:r w:rsidR="00CA6EA7">
        <w:t>waste category ‘Unused materials’</w:t>
      </w:r>
    </w:p>
    <w:p w14:paraId="2612F925" w14:textId="1FEC196C" w:rsidR="00493B5C" w:rsidRPr="00255909" w:rsidRDefault="00162326" w:rsidP="00D501DB">
      <w:pPr>
        <w:pStyle w:val="DHHSbullet1"/>
      </w:pPr>
      <w:r>
        <w:t>(If requested)</w:t>
      </w:r>
      <w:r w:rsidRPr="00255909">
        <w:t xml:space="preserve"> </w:t>
      </w:r>
      <w:r w:rsidR="00B96C0E">
        <w:t xml:space="preserve">the </w:t>
      </w:r>
      <w:r w:rsidR="00834C52">
        <w:t>s</w:t>
      </w:r>
      <w:r w:rsidR="00493B5C" w:rsidRPr="00255909">
        <w:t xml:space="preserve">ite </w:t>
      </w:r>
      <w:r>
        <w:t>a</w:t>
      </w:r>
      <w:r w:rsidR="00493B5C" w:rsidRPr="00255909">
        <w:t>nalysis</w:t>
      </w:r>
      <w:r w:rsidR="00CA6EA7">
        <w:t xml:space="preserve"> </w:t>
      </w:r>
      <w:r>
        <w:t xml:space="preserve">of </w:t>
      </w:r>
      <w:r w:rsidR="00B96C0E">
        <w:t xml:space="preserve">the </w:t>
      </w:r>
      <w:r>
        <w:t>ward audited</w:t>
      </w:r>
      <w:r w:rsidR="00834C52">
        <w:t xml:space="preserve"> should</w:t>
      </w:r>
      <w:r w:rsidR="00493B5C" w:rsidRPr="00255909">
        <w:t xml:space="preserve"> include:</w:t>
      </w:r>
    </w:p>
    <w:p w14:paraId="5F772893" w14:textId="77777777" w:rsidR="005448A0" w:rsidRDefault="005448A0" w:rsidP="005448A0">
      <w:pPr>
        <w:pStyle w:val="DHHSbullet1"/>
        <w:numPr>
          <w:ilvl w:val="1"/>
          <w:numId w:val="8"/>
        </w:numPr>
      </w:pPr>
      <w:r>
        <w:t>an assessment of the suitability of bin placement, signage and waste streams provided</w:t>
      </w:r>
    </w:p>
    <w:p w14:paraId="40ECD9D5" w14:textId="65511BB9" w:rsidR="00493B5C" w:rsidRDefault="00834C52" w:rsidP="00D501DB">
      <w:pPr>
        <w:pStyle w:val="DHHSbullet1"/>
        <w:numPr>
          <w:ilvl w:val="1"/>
          <w:numId w:val="8"/>
        </w:numPr>
      </w:pPr>
      <w:r>
        <w:t>h</w:t>
      </w:r>
      <w:r w:rsidR="00493B5C" w:rsidRPr="00255909">
        <w:t xml:space="preserve">ow </w:t>
      </w:r>
      <w:r>
        <w:t xml:space="preserve">the </w:t>
      </w:r>
      <w:r w:rsidR="00493B5C" w:rsidRPr="00255909">
        <w:t>findings from</w:t>
      </w:r>
      <w:r w:rsidR="00B96C0E">
        <w:t xml:space="preserve"> th</w:t>
      </w:r>
      <w:r w:rsidR="005448A0">
        <w:t>is</w:t>
      </w:r>
      <w:r w:rsidR="00493B5C" w:rsidRPr="00255909">
        <w:t xml:space="preserve"> </w:t>
      </w:r>
      <w:r w:rsidR="005448A0">
        <w:t>assessment</w:t>
      </w:r>
      <w:r w:rsidR="00493B5C" w:rsidRPr="00255909">
        <w:t xml:space="preserve"> may have influe</w:t>
      </w:r>
      <w:r w:rsidR="00493B5C">
        <w:t xml:space="preserve">nced </w:t>
      </w:r>
      <w:r w:rsidR="00B96C0E">
        <w:t xml:space="preserve">the </w:t>
      </w:r>
      <w:r w:rsidR="00493B5C">
        <w:t xml:space="preserve">waste composition findings </w:t>
      </w:r>
    </w:p>
    <w:p w14:paraId="5B049C0F" w14:textId="003681B5" w:rsidR="00493B5C" w:rsidRDefault="00493B5C" w:rsidP="00D501DB">
      <w:pPr>
        <w:pStyle w:val="DHHSbullet1"/>
      </w:pPr>
      <w:r>
        <w:t xml:space="preserve">Analysis of </w:t>
      </w:r>
      <w:r w:rsidR="00B96C0E">
        <w:t xml:space="preserve">the </w:t>
      </w:r>
      <w:r>
        <w:t xml:space="preserve">current costs of </w:t>
      </w:r>
      <w:r w:rsidR="00B96C0E">
        <w:t xml:space="preserve">the </w:t>
      </w:r>
      <w:r w:rsidR="00DE4B83">
        <w:t xml:space="preserve">specified </w:t>
      </w:r>
      <w:r>
        <w:t>waste stream and potential savings from reducing contamination</w:t>
      </w:r>
      <w:r w:rsidR="003A0A23">
        <w:t xml:space="preserve"> levels identified </w:t>
      </w:r>
      <w:r>
        <w:t xml:space="preserve">in </w:t>
      </w:r>
      <w:r w:rsidR="00C710B4">
        <w:t xml:space="preserve">the </w:t>
      </w:r>
      <w:r>
        <w:t>audit</w:t>
      </w:r>
    </w:p>
    <w:p w14:paraId="5AE3DDCA" w14:textId="461AA78A" w:rsidR="00493B5C" w:rsidRPr="00255909" w:rsidRDefault="00493B5C" w:rsidP="00D501DB">
      <w:pPr>
        <w:pStyle w:val="DHHSbullet1"/>
      </w:pPr>
      <w:r w:rsidRPr="00255909">
        <w:t>Recommendations for improvement</w:t>
      </w:r>
    </w:p>
    <w:p w14:paraId="72C06F43" w14:textId="77777777" w:rsidR="00493B5C" w:rsidRDefault="00621D39" w:rsidP="00EA4313">
      <w:pPr>
        <w:pStyle w:val="Heading1"/>
      </w:pPr>
      <w:bookmarkStart w:id="14" w:name="_Toc2000847"/>
      <w:r>
        <w:t>Responsibilities of health s</w:t>
      </w:r>
      <w:r w:rsidR="00493B5C">
        <w:t>ervice</w:t>
      </w:r>
      <w:bookmarkEnd w:id="14"/>
    </w:p>
    <w:p w14:paraId="5B795839" w14:textId="77777777" w:rsidR="00CE61A2" w:rsidRPr="00CE61A2" w:rsidRDefault="00CE61A2" w:rsidP="00CE61A2">
      <w:pPr>
        <w:pStyle w:val="DHHSbody"/>
      </w:pPr>
      <w:r>
        <w:t xml:space="preserve">A detailed checklist </w:t>
      </w:r>
      <w:r w:rsidR="00621D39">
        <w:t xml:space="preserve">of health service responsibilities </w:t>
      </w:r>
      <w:r>
        <w:t>can be found in Appendix 5</w:t>
      </w:r>
      <w:r w:rsidR="00621D39">
        <w:t>.</w:t>
      </w:r>
    </w:p>
    <w:p w14:paraId="593A5859" w14:textId="77777777" w:rsidR="00CE61A2" w:rsidRDefault="00621D39" w:rsidP="00EA4313">
      <w:pPr>
        <w:pStyle w:val="Heading2"/>
      </w:pPr>
      <w:bookmarkStart w:id="15" w:name="_Toc515273308"/>
      <w:bookmarkStart w:id="16" w:name="_Toc515273307"/>
      <w:r>
        <w:t>Waste c</w:t>
      </w:r>
      <w:r w:rsidR="00CE61A2">
        <w:t>ollection</w:t>
      </w:r>
      <w:bookmarkEnd w:id="15"/>
    </w:p>
    <w:p w14:paraId="2E5C3FC6" w14:textId="30A21E2C" w:rsidR="00CE61A2" w:rsidRPr="00244077" w:rsidRDefault="00621D39" w:rsidP="00CE61A2">
      <w:pPr>
        <w:pStyle w:val="DHHSbody"/>
      </w:pPr>
      <w:r>
        <w:t>The h</w:t>
      </w:r>
      <w:r w:rsidR="00CE61A2">
        <w:t xml:space="preserve">ealth </w:t>
      </w:r>
      <w:r>
        <w:t>s</w:t>
      </w:r>
      <w:r w:rsidR="00CE61A2">
        <w:t>ervice is responsible for effective</w:t>
      </w:r>
      <w:r w:rsidR="00626DF9">
        <w:t>ly</w:t>
      </w:r>
      <w:r w:rsidR="00CE61A2">
        <w:t xml:space="preserve"> labelling and quarantining </w:t>
      </w:r>
      <w:r>
        <w:t xml:space="preserve">the specified </w:t>
      </w:r>
      <w:r w:rsidR="00CE61A2">
        <w:t>waste</w:t>
      </w:r>
      <w:r>
        <w:t xml:space="preserve"> stream </w:t>
      </w:r>
      <w:r w:rsidR="00CE61A2">
        <w:t xml:space="preserve">to be audited over the </w:t>
      </w:r>
      <w:r w:rsidR="00E6478A">
        <w:t>24-hour</w:t>
      </w:r>
      <w:r w:rsidR="00CE61A2">
        <w:t xml:space="preserve"> period, ensuring that waste can be easily associated with the ward/department </w:t>
      </w:r>
      <w:r>
        <w:t xml:space="preserve">that </w:t>
      </w:r>
      <w:r w:rsidR="00CE61A2">
        <w:t>it has been collected from.</w:t>
      </w:r>
    </w:p>
    <w:p w14:paraId="240768EC" w14:textId="4198877F" w:rsidR="00CE61A2" w:rsidRDefault="00CE61A2" w:rsidP="00CE61A2">
      <w:pPr>
        <w:pStyle w:val="DHHSbody"/>
      </w:pPr>
      <w:r>
        <w:t xml:space="preserve">The </w:t>
      </w:r>
      <w:r w:rsidR="00621D39">
        <w:t>h</w:t>
      </w:r>
      <w:r w:rsidRPr="00255909">
        <w:t xml:space="preserve">ealth </w:t>
      </w:r>
      <w:r w:rsidR="00621D39">
        <w:t>s</w:t>
      </w:r>
      <w:r w:rsidRPr="00255909">
        <w:t xml:space="preserve">ervice </w:t>
      </w:r>
      <w:r>
        <w:t>must</w:t>
      </w:r>
      <w:r w:rsidRPr="00255909">
        <w:t xml:space="preserve"> ensur</w:t>
      </w:r>
      <w:r>
        <w:t>e</w:t>
      </w:r>
      <w:r w:rsidRPr="00255909">
        <w:t xml:space="preserve"> t</w:t>
      </w:r>
      <w:r>
        <w:t>hat all staff responsible for collecti</w:t>
      </w:r>
      <w:r w:rsidR="006D27AA">
        <w:t>ng</w:t>
      </w:r>
      <w:r>
        <w:t xml:space="preserve"> </w:t>
      </w:r>
      <w:r w:rsidR="00863CB5">
        <w:t>the</w:t>
      </w:r>
      <w:r w:rsidR="006D27AA">
        <w:t xml:space="preserve"> </w:t>
      </w:r>
      <w:r w:rsidR="00621D39">
        <w:t xml:space="preserve">specified </w:t>
      </w:r>
      <w:r>
        <w:t>waste</w:t>
      </w:r>
      <w:r w:rsidR="00621D39">
        <w:t xml:space="preserve"> stream</w:t>
      </w:r>
      <w:r w:rsidR="00834C52">
        <w:t xml:space="preserve"> –</w:t>
      </w:r>
      <w:r w:rsidR="00621D39">
        <w:t xml:space="preserve"> </w:t>
      </w:r>
      <w:r w:rsidR="00834C52">
        <w:t>for example,</w:t>
      </w:r>
      <w:r w:rsidR="00621D39">
        <w:t xml:space="preserve"> Environmental </w:t>
      </w:r>
      <w:r w:rsidR="00E6478A">
        <w:t>S</w:t>
      </w:r>
      <w:r>
        <w:t>ervices</w:t>
      </w:r>
      <w:r w:rsidR="00834C52">
        <w:t xml:space="preserve"> staff –</w:t>
      </w:r>
      <w:r>
        <w:t xml:space="preserve"> </w:t>
      </w:r>
      <w:r w:rsidRPr="00255909">
        <w:t>are aware of the procedures and e</w:t>
      </w:r>
      <w:r>
        <w:t xml:space="preserve">xpectations regarding collection, labelling </w:t>
      </w:r>
      <w:r w:rsidRPr="00255909">
        <w:t xml:space="preserve">and quarantining of waste during the </w:t>
      </w:r>
      <w:r w:rsidR="00E6478A" w:rsidRPr="00255909">
        <w:t>24-hour</w:t>
      </w:r>
      <w:r w:rsidRPr="00255909">
        <w:t xml:space="preserve"> collection period.</w:t>
      </w:r>
    </w:p>
    <w:p w14:paraId="4B50DEFB" w14:textId="20C3BF7A" w:rsidR="00CE61A2" w:rsidRDefault="00CE61A2" w:rsidP="00CE61A2">
      <w:pPr>
        <w:pStyle w:val="DHHSbody"/>
      </w:pPr>
      <w:r>
        <w:t xml:space="preserve">It is also recommended that staff </w:t>
      </w:r>
      <w:r w:rsidR="006D27AA">
        <w:t xml:space="preserve">are supervised </w:t>
      </w:r>
      <w:r>
        <w:t xml:space="preserve">over the </w:t>
      </w:r>
      <w:r w:rsidR="00E6478A">
        <w:t>24-hour</w:t>
      </w:r>
      <w:r>
        <w:t xml:space="preserve"> period to ensure effective quarantining and labelling of </w:t>
      </w:r>
      <w:r w:rsidR="00621D39">
        <w:t xml:space="preserve">the specified </w:t>
      </w:r>
      <w:r>
        <w:t>waste</w:t>
      </w:r>
      <w:r w:rsidR="00621D39">
        <w:t xml:space="preserve"> stream</w:t>
      </w:r>
      <w:r>
        <w:t xml:space="preserve"> is taking place.</w:t>
      </w:r>
    </w:p>
    <w:p w14:paraId="78871454" w14:textId="77777777" w:rsidR="00696D6D" w:rsidRDefault="00696D6D" w:rsidP="00EA4313">
      <w:pPr>
        <w:pStyle w:val="Heading2"/>
      </w:pPr>
      <w:r>
        <w:t>Data collection</w:t>
      </w:r>
    </w:p>
    <w:p w14:paraId="05E9C96C" w14:textId="45A99235" w:rsidR="005D7CAE" w:rsidRDefault="00696D6D" w:rsidP="005448A0">
      <w:pPr>
        <w:pStyle w:val="DHHSbody"/>
      </w:pPr>
      <w:r>
        <w:t>The health service is re</w:t>
      </w:r>
      <w:r w:rsidR="005D7CAE">
        <w:t>s</w:t>
      </w:r>
      <w:r>
        <w:t>ponsi</w:t>
      </w:r>
      <w:r w:rsidR="005D7CAE">
        <w:t xml:space="preserve">ble for gathering </w:t>
      </w:r>
      <w:r w:rsidR="00862E27">
        <w:t>patient activity data</w:t>
      </w:r>
      <w:r w:rsidR="005D7CAE">
        <w:t xml:space="preserve"> for the </w:t>
      </w:r>
      <w:r w:rsidR="00E6478A">
        <w:t>24-hour</w:t>
      </w:r>
      <w:r w:rsidR="005D7CAE">
        <w:t xml:space="preserve"> audit period</w:t>
      </w:r>
      <w:r w:rsidR="005D7CAE" w:rsidRPr="00255909">
        <w:t>.</w:t>
      </w:r>
      <w:r w:rsidR="005D7CAE">
        <w:t xml:space="preserve"> The health service </w:t>
      </w:r>
      <w:r w:rsidR="006C4E56">
        <w:t>must</w:t>
      </w:r>
      <w:r w:rsidR="005D7CAE">
        <w:t xml:space="preserve"> </w:t>
      </w:r>
      <w:r w:rsidR="00834C52">
        <w:t>r</w:t>
      </w:r>
      <w:r w:rsidR="005D7CAE">
        <w:t xml:space="preserve">equest that the auditor use this data to calculate </w:t>
      </w:r>
      <w:r w:rsidR="002945A6">
        <w:t xml:space="preserve">the </w:t>
      </w:r>
      <w:r w:rsidR="005D7CAE">
        <w:t>w</w:t>
      </w:r>
      <w:r w:rsidR="005D7CAE" w:rsidRPr="00255909">
        <w:t>eigh</w:t>
      </w:r>
      <w:r w:rsidR="005D7CAE">
        <w:t>t</w:t>
      </w:r>
      <w:r w:rsidR="005D7CAE" w:rsidRPr="00255909">
        <w:t xml:space="preserve"> and volume </w:t>
      </w:r>
      <w:r w:rsidR="005D7CAE">
        <w:t xml:space="preserve">of </w:t>
      </w:r>
      <w:r w:rsidR="002945A6">
        <w:t xml:space="preserve">the </w:t>
      </w:r>
      <w:r w:rsidR="005D7CAE">
        <w:t xml:space="preserve">specified waste stream </w:t>
      </w:r>
      <w:r w:rsidR="005D7CAE" w:rsidRPr="00255909">
        <w:t xml:space="preserve">per </w:t>
      </w:r>
      <w:r w:rsidR="005D7CAE">
        <w:t>patient treated and include these findings in the report</w:t>
      </w:r>
      <w:r w:rsidR="00F03FEF">
        <w:t>.</w:t>
      </w:r>
    </w:p>
    <w:p w14:paraId="72BE8771" w14:textId="673FA864" w:rsidR="00696D6D" w:rsidRDefault="005D7CAE" w:rsidP="005448A0">
      <w:pPr>
        <w:pStyle w:val="DHHSbody"/>
      </w:pPr>
      <w:r>
        <w:t>It is essential</w:t>
      </w:r>
      <w:r w:rsidR="00B73946">
        <w:t xml:space="preserve"> that this information is calculated</w:t>
      </w:r>
      <w:r w:rsidR="00F2626A">
        <w:t xml:space="preserve">, either by the auditor or health service, to </w:t>
      </w:r>
      <w:r w:rsidR="00B73946">
        <w:t xml:space="preserve">establish a </w:t>
      </w:r>
      <w:r w:rsidR="00862E27">
        <w:t xml:space="preserve">benchmark </w:t>
      </w:r>
      <w:r w:rsidR="00B73946">
        <w:t xml:space="preserve">for the ward/department audited. Without this </w:t>
      </w:r>
      <w:r w:rsidR="00862E27">
        <w:t>benchmark</w:t>
      </w:r>
      <w:r w:rsidR="002945A6">
        <w:t>,</w:t>
      </w:r>
      <w:r w:rsidR="00B73946">
        <w:t xml:space="preserve"> findings cannot be compared with future audits or other health services.</w:t>
      </w:r>
    </w:p>
    <w:p w14:paraId="125EF4DD" w14:textId="632BB4BD" w:rsidR="00493B5C" w:rsidRPr="004C4CAB" w:rsidRDefault="00493B5C" w:rsidP="00EA4313">
      <w:pPr>
        <w:pStyle w:val="Heading2"/>
      </w:pPr>
      <w:r w:rsidRPr="004C4CAB">
        <w:t>O</w:t>
      </w:r>
      <w:r w:rsidR="00EA4313">
        <w:t>ccupational health and safety</w:t>
      </w:r>
      <w:bookmarkEnd w:id="16"/>
    </w:p>
    <w:p w14:paraId="5FE46AAB" w14:textId="3A58AC55" w:rsidR="00493B5C" w:rsidRPr="00255909" w:rsidRDefault="00493B5C" w:rsidP="00493B5C">
      <w:pPr>
        <w:pStyle w:val="DHHSbody"/>
      </w:pPr>
      <w:r w:rsidRPr="00255909">
        <w:t xml:space="preserve">If </w:t>
      </w:r>
      <w:r w:rsidR="00334ED0">
        <w:t xml:space="preserve">the </w:t>
      </w:r>
      <w:r w:rsidRPr="00255909">
        <w:t>audit is t</w:t>
      </w:r>
      <w:r w:rsidR="00621D39">
        <w:t>o be conducted at a h</w:t>
      </w:r>
      <w:r>
        <w:t xml:space="preserve">ealth </w:t>
      </w:r>
      <w:r w:rsidR="00621D39">
        <w:t>s</w:t>
      </w:r>
      <w:r w:rsidRPr="00255909">
        <w:t>ervice</w:t>
      </w:r>
      <w:r w:rsidR="00334ED0">
        <w:t>,</w:t>
      </w:r>
      <w:r w:rsidRPr="00255909">
        <w:t xml:space="preserve"> </w:t>
      </w:r>
      <w:r w:rsidR="00334ED0">
        <w:t xml:space="preserve">the health service must prepare </w:t>
      </w:r>
      <w:r w:rsidRPr="00255909">
        <w:t>a site</w:t>
      </w:r>
      <w:r w:rsidR="001758C8">
        <w:t>-</w:t>
      </w:r>
      <w:r w:rsidRPr="00255909">
        <w:t xml:space="preserve">specific OH&amp;S </w:t>
      </w:r>
      <w:r w:rsidR="00621D39">
        <w:t>p</w:t>
      </w:r>
      <w:r w:rsidRPr="00255909">
        <w:t xml:space="preserve">lan </w:t>
      </w:r>
      <w:r w:rsidR="00334ED0">
        <w:t xml:space="preserve">before beginning the </w:t>
      </w:r>
      <w:r w:rsidRPr="00255909">
        <w:t>audit. This should include</w:t>
      </w:r>
      <w:r>
        <w:t>, but not be limited to</w:t>
      </w:r>
      <w:r w:rsidRPr="00255909">
        <w:t>:</w:t>
      </w:r>
    </w:p>
    <w:p w14:paraId="58DD1EA7" w14:textId="58EB9EAE" w:rsidR="00493B5C" w:rsidRPr="00255909" w:rsidRDefault="001758C8" w:rsidP="00D501DB">
      <w:pPr>
        <w:pStyle w:val="DHHSbullet1"/>
      </w:pPr>
      <w:r>
        <w:t>a</w:t>
      </w:r>
      <w:r w:rsidR="00493B5C" w:rsidRPr="00255909">
        <w:t>udit align</w:t>
      </w:r>
      <w:r w:rsidR="00493B5C">
        <w:t>ment</w:t>
      </w:r>
      <w:r w:rsidR="00621D39">
        <w:t xml:space="preserve"> with </w:t>
      </w:r>
      <w:r w:rsidR="00334ED0">
        <w:t xml:space="preserve">the </w:t>
      </w:r>
      <w:r w:rsidR="00621D39">
        <w:t>h</w:t>
      </w:r>
      <w:r w:rsidR="00493B5C" w:rsidRPr="00255909">
        <w:t xml:space="preserve">ealth </w:t>
      </w:r>
      <w:r w:rsidR="00621D39">
        <w:t>s</w:t>
      </w:r>
      <w:r w:rsidR="00493B5C" w:rsidRPr="00255909">
        <w:t>ervice</w:t>
      </w:r>
      <w:r w:rsidR="00334ED0">
        <w:t>’</w:t>
      </w:r>
      <w:r w:rsidR="00493B5C" w:rsidRPr="00255909">
        <w:t xml:space="preserve">s </w:t>
      </w:r>
      <w:r w:rsidR="00493B5C">
        <w:t>OH&amp;S</w:t>
      </w:r>
      <w:r w:rsidR="00493B5C" w:rsidRPr="00255909">
        <w:t xml:space="preserve"> </w:t>
      </w:r>
      <w:r w:rsidR="00621D39">
        <w:t>p</w:t>
      </w:r>
      <w:r w:rsidR="00493B5C" w:rsidRPr="00255909">
        <w:t>olicy</w:t>
      </w:r>
    </w:p>
    <w:p w14:paraId="35EDC229" w14:textId="3B00DFAF" w:rsidR="00493B5C" w:rsidRDefault="001758C8" w:rsidP="00D501DB">
      <w:pPr>
        <w:pStyle w:val="DHHSbullet1"/>
      </w:pPr>
      <w:r>
        <w:t>s</w:t>
      </w:r>
      <w:r w:rsidR="00493B5C">
        <w:t>ample collection and risk-minimisation procedures including</w:t>
      </w:r>
      <w:r>
        <w:t>:</w:t>
      </w:r>
    </w:p>
    <w:p w14:paraId="7D3E8265" w14:textId="5B6A5591" w:rsidR="00493B5C" w:rsidRDefault="001758C8" w:rsidP="00D501DB">
      <w:pPr>
        <w:pStyle w:val="DHHSbullet1"/>
        <w:numPr>
          <w:ilvl w:val="1"/>
          <w:numId w:val="8"/>
        </w:numPr>
      </w:pPr>
      <w:r>
        <w:lastRenderedPageBreak/>
        <w:t>i</w:t>
      </w:r>
      <w:r w:rsidR="00493B5C">
        <w:t>dentif</w:t>
      </w:r>
      <w:r w:rsidR="00334ED0">
        <w:t>ying</w:t>
      </w:r>
      <w:r w:rsidR="00493B5C">
        <w:t xml:space="preserve"> site</w:t>
      </w:r>
      <w:r w:rsidR="00334ED0">
        <w:t>-</w:t>
      </w:r>
      <w:r w:rsidR="00493B5C">
        <w:t>specific OH&amp;S issues</w:t>
      </w:r>
    </w:p>
    <w:p w14:paraId="621D6549" w14:textId="51E94596" w:rsidR="00493B5C" w:rsidRPr="00255909" w:rsidRDefault="00493B5C" w:rsidP="00D501DB">
      <w:pPr>
        <w:pStyle w:val="DHHSbullet1"/>
        <w:numPr>
          <w:ilvl w:val="1"/>
          <w:numId w:val="8"/>
        </w:numPr>
      </w:pPr>
      <w:r w:rsidRPr="00255909">
        <w:t>a project</w:t>
      </w:r>
      <w:r w:rsidR="00334ED0">
        <w:t>-</w:t>
      </w:r>
      <w:r w:rsidRPr="00255909">
        <w:t xml:space="preserve">specific risk identification process and standard operating procedures for specific risk </w:t>
      </w:r>
      <w:r w:rsidR="00D501DB">
        <w:t>(</w:t>
      </w:r>
      <w:r w:rsidR="008411DA">
        <w:t xml:space="preserve">for example, </w:t>
      </w:r>
      <w:r w:rsidRPr="00255909">
        <w:t>a step</w:t>
      </w:r>
      <w:r w:rsidR="00D501DB">
        <w:t>-</w:t>
      </w:r>
      <w:r w:rsidRPr="00255909">
        <w:t>by</w:t>
      </w:r>
      <w:r w:rsidR="00D501DB">
        <w:t>-</w:t>
      </w:r>
      <w:r w:rsidRPr="00255909">
        <w:t>step process to specify procedures for securing a syringe found during a waste sort</w:t>
      </w:r>
      <w:r w:rsidR="00D501DB">
        <w:t>)</w:t>
      </w:r>
    </w:p>
    <w:p w14:paraId="1CC38075" w14:textId="3BBDFA2D" w:rsidR="00493B5C" w:rsidRPr="00255909" w:rsidRDefault="001758C8" w:rsidP="00D501DB">
      <w:pPr>
        <w:pStyle w:val="DHHSbullet1"/>
      </w:pPr>
      <w:r>
        <w:t>e</w:t>
      </w:r>
      <w:r w:rsidR="00493B5C" w:rsidRPr="00255909">
        <w:t>nsuring that the audit site is equipped with a first aid kit</w:t>
      </w:r>
    </w:p>
    <w:p w14:paraId="1323C14D" w14:textId="43E1DDE0" w:rsidR="00493B5C" w:rsidRPr="00255909" w:rsidRDefault="008411DA" w:rsidP="00D501DB">
      <w:pPr>
        <w:pStyle w:val="DHHSbullet1"/>
      </w:pPr>
      <w:r>
        <w:t xml:space="preserve">ensuring </w:t>
      </w:r>
      <w:r w:rsidR="001758C8">
        <w:t>a</w:t>
      </w:r>
      <w:r w:rsidR="00493B5C" w:rsidRPr="00255909">
        <w:t xml:space="preserve">uditors, </w:t>
      </w:r>
      <w:r w:rsidR="00621D39">
        <w:t>health s</w:t>
      </w:r>
      <w:r w:rsidR="00493B5C" w:rsidRPr="00255909">
        <w:t xml:space="preserve">ervices and all subcontractors </w:t>
      </w:r>
      <w:r w:rsidR="00621D39">
        <w:t>have appropriate levels of p</w:t>
      </w:r>
      <w:r w:rsidR="00493B5C" w:rsidRPr="00255909">
        <w:t>erso</w:t>
      </w:r>
      <w:r w:rsidR="00621D39">
        <w:t>nal and professional indemnity and workers c</w:t>
      </w:r>
      <w:r w:rsidR="00493B5C" w:rsidRPr="00255909">
        <w:t>ompensation insurances</w:t>
      </w:r>
    </w:p>
    <w:p w14:paraId="5DBB74AC" w14:textId="11DBF16A" w:rsidR="00247A2F" w:rsidRDefault="00493B5C" w:rsidP="00D501DB">
      <w:pPr>
        <w:pStyle w:val="DHHSbullet1"/>
      </w:pPr>
      <w:r w:rsidRPr="00255909">
        <w:t>monitoring ambient site conditions during the audit processes</w:t>
      </w:r>
    </w:p>
    <w:p w14:paraId="7B77D22F" w14:textId="31F18225" w:rsidR="00493B5C" w:rsidRDefault="001758C8" w:rsidP="00D501DB">
      <w:pPr>
        <w:pStyle w:val="DHHSbullet1"/>
      </w:pPr>
      <w:r>
        <w:t>c</w:t>
      </w:r>
      <w:r w:rsidR="00DE4B83">
        <w:t>heck</w:t>
      </w:r>
      <w:r w:rsidR="00247A2F">
        <w:t>s</w:t>
      </w:r>
      <w:r w:rsidR="00DE4B83">
        <w:t xml:space="preserve"> with </w:t>
      </w:r>
      <w:r w:rsidR="008411DA">
        <w:t xml:space="preserve">the </w:t>
      </w:r>
      <w:r w:rsidR="00DE4B83">
        <w:t xml:space="preserve">auditor that they have </w:t>
      </w:r>
      <w:r w:rsidR="00493B5C" w:rsidRPr="00255909">
        <w:t xml:space="preserve">relevant </w:t>
      </w:r>
      <w:r w:rsidR="00D501DB">
        <w:t>p</w:t>
      </w:r>
      <w:r w:rsidR="00493B5C" w:rsidRPr="00255909">
        <w:t xml:space="preserve">ersonal </w:t>
      </w:r>
      <w:r w:rsidR="00D501DB">
        <w:t>p</w:t>
      </w:r>
      <w:r w:rsidR="00493B5C" w:rsidRPr="00255909">
        <w:t xml:space="preserve">rotective </w:t>
      </w:r>
      <w:r w:rsidR="00D501DB">
        <w:t>e</w:t>
      </w:r>
      <w:r w:rsidR="00493B5C" w:rsidRPr="00255909">
        <w:t xml:space="preserve">quipment </w:t>
      </w:r>
      <w:r w:rsidR="00621D39">
        <w:t>(PPE) and v</w:t>
      </w:r>
      <w:r w:rsidR="00493B5C" w:rsidRPr="00255909">
        <w:t>accinations.</w:t>
      </w:r>
    </w:p>
    <w:p w14:paraId="3EC73DE6" w14:textId="191A84D6" w:rsidR="00493B5C" w:rsidRPr="004C4CAB" w:rsidRDefault="00493B5C" w:rsidP="00EA4313">
      <w:pPr>
        <w:pStyle w:val="Heading2"/>
      </w:pPr>
      <w:bookmarkStart w:id="17" w:name="_Toc515273310"/>
      <w:r w:rsidRPr="004C4CAB">
        <w:t xml:space="preserve">Site </w:t>
      </w:r>
      <w:r w:rsidR="00EA4313">
        <w:t>a</w:t>
      </w:r>
      <w:r w:rsidRPr="004C4CAB">
        <w:t>nalysis</w:t>
      </w:r>
      <w:bookmarkEnd w:id="17"/>
    </w:p>
    <w:p w14:paraId="7C9E7EE3" w14:textId="64ACFD26" w:rsidR="00621D39" w:rsidRDefault="00493B5C" w:rsidP="00493B5C">
      <w:pPr>
        <w:pStyle w:val="DHHSbody"/>
      </w:pPr>
      <w:r>
        <w:t xml:space="preserve">As part of the audit process a </w:t>
      </w:r>
      <w:r w:rsidRPr="004C4CAB">
        <w:t xml:space="preserve">review </w:t>
      </w:r>
      <w:r>
        <w:t xml:space="preserve">of </w:t>
      </w:r>
      <w:r w:rsidRPr="004C4CAB">
        <w:t xml:space="preserve">waste management systems within each ward/department </w:t>
      </w:r>
      <w:r>
        <w:t xml:space="preserve">should take place </w:t>
      </w:r>
      <w:r w:rsidR="006C4E56">
        <w:t>to</w:t>
      </w:r>
      <w:r w:rsidRPr="004C4CAB">
        <w:t xml:space="preserve"> gain </w:t>
      </w:r>
      <w:r w:rsidR="008411DA">
        <w:t xml:space="preserve">an </w:t>
      </w:r>
      <w:r w:rsidRPr="004C4CAB">
        <w:t>understanding of issues</w:t>
      </w:r>
      <w:r w:rsidR="008411DA">
        <w:t xml:space="preserve"> or </w:t>
      </w:r>
      <w:r w:rsidRPr="004C4CAB">
        <w:t xml:space="preserve">current practices that may </w:t>
      </w:r>
      <w:r>
        <w:t>contribute</w:t>
      </w:r>
      <w:r w:rsidRPr="004C4CAB">
        <w:t xml:space="preserve"> to waste composition.</w:t>
      </w:r>
    </w:p>
    <w:p w14:paraId="6776BE9A" w14:textId="77777777" w:rsidR="00487626" w:rsidRDefault="00621D39" w:rsidP="00621D39">
      <w:pPr>
        <w:pStyle w:val="DHHSbody"/>
      </w:pPr>
      <w:r>
        <w:t>This can be conducted by the health service or auditor.</w:t>
      </w:r>
      <w:r w:rsidR="00493B5C">
        <w:br w:type="page"/>
      </w:r>
    </w:p>
    <w:p w14:paraId="517B08C3" w14:textId="389F6E63" w:rsidR="00493B5C" w:rsidRDefault="00493B5C" w:rsidP="00493B5C">
      <w:pPr>
        <w:pStyle w:val="Heading1"/>
      </w:pPr>
      <w:bookmarkStart w:id="18" w:name="_Toc2000848"/>
      <w:r>
        <w:lastRenderedPageBreak/>
        <w:t xml:space="preserve">Appendix </w:t>
      </w:r>
      <w:r w:rsidR="009D22E1">
        <w:t>1</w:t>
      </w:r>
      <w:r w:rsidR="00633840">
        <w:t>:</w:t>
      </w:r>
      <w:r>
        <w:t xml:space="preserve"> Composition </w:t>
      </w:r>
      <w:r w:rsidR="00633840">
        <w:t>c</w:t>
      </w:r>
      <w:r>
        <w:t>ategories</w:t>
      </w:r>
      <w:bookmarkEnd w:id="18"/>
    </w:p>
    <w:tbl>
      <w:tblPr>
        <w:tblStyle w:val="LightGrid-Accent1"/>
        <w:tblW w:w="9923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493B5C" w:rsidRPr="00493B5C" w14:paraId="722BBF5F" w14:textId="77777777" w:rsidTr="00FE3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14:paraId="780C137A" w14:textId="77777777" w:rsidR="00493B5C" w:rsidRPr="00D873D5" w:rsidRDefault="00493B5C" w:rsidP="00D873D5">
            <w:pPr>
              <w:pStyle w:val="DHHStablecolhead"/>
              <w:rPr>
                <w:b/>
                <w:color w:val="auto"/>
                <w:lang w:eastAsia="en-AU"/>
              </w:rPr>
            </w:pPr>
            <w:bookmarkStart w:id="19" w:name="_Toc515273314"/>
            <w:r w:rsidRPr="00D873D5">
              <w:rPr>
                <w:b/>
                <w:color w:val="auto"/>
                <w:lang w:eastAsia="en-AU"/>
              </w:rPr>
              <w:t>Category</w:t>
            </w:r>
            <w:bookmarkEnd w:id="19"/>
          </w:p>
        </w:tc>
        <w:tc>
          <w:tcPr>
            <w:tcW w:w="0" w:type="dxa"/>
          </w:tcPr>
          <w:p w14:paraId="02542C14" w14:textId="77777777" w:rsidR="00493B5C" w:rsidRPr="00D873D5" w:rsidRDefault="00493B5C" w:rsidP="00D873D5">
            <w:pPr>
              <w:pStyle w:val="DHHS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eastAsia="en-AU"/>
              </w:rPr>
            </w:pPr>
            <w:bookmarkStart w:id="20" w:name="_Toc515273315"/>
            <w:r w:rsidRPr="00D873D5">
              <w:rPr>
                <w:b/>
                <w:color w:val="auto"/>
                <w:lang w:eastAsia="en-AU"/>
              </w:rPr>
              <w:t>Description</w:t>
            </w:r>
            <w:bookmarkEnd w:id="20"/>
          </w:p>
        </w:tc>
      </w:tr>
      <w:tr w:rsidR="00493B5C" w:rsidRPr="00493B5C" w14:paraId="7FC8FA7D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</w:tcPr>
          <w:p w14:paraId="1359A3FE" w14:textId="575A9BC3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 xml:space="preserve">Anatomical </w:t>
            </w:r>
            <w:r w:rsidR="00D501DB">
              <w:rPr>
                <w:lang w:eastAsia="en-AU"/>
              </w:rPr>
              <w:t>w</w:t>
            </w:r>
            <w:r w:rsidRPr="00493B5C">
              <w:rPr>
                <w:lang w:eastAsia="en-AU"/>
              </w:rPr>
              <w:t>aste</w:t>
            </w:r>
          </w:p>
        </w:tc>
        <w:tc>
          <w:tcPr>
            <w:tcW w:w="6520" w:type="dxa"/>
          </w:tcPr>
          <w:p w14:paraId="70F4F0DB" w14:textId="4A1672D6" w:rsidR="00493B5C" w:rsidRPr="00493B5C" w:rsidRDefault="00493B5C" w:rsidP="00D873D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B5C">
              <w:t>Human tissues, organs, body parts, pathological specimens and body tissue taken during laboratory testing, surgery or treatment</w:t>
            </w:r>
          </w:p>
        </w:tc>
      </w:tr>
      <w:tr w:rsidR="00493B5C" w:rsidRPr="00493B5C" w14:paraId="12D8EC65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5C3E9434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Batteries</w:t>
            </w:r>
          </w:p>
        </w:tc>
        <w:tc>
          <w:tcPr>
            <w:tcW w:w="6520" w:type="dxa"/>
          </w:tcPr>
          <w:p w14:paraId="67C88666" w14:textId="333CE246" w:rsidR="00493B5C" w:rsidRPr="00493B5C" w:rsidRDefault="00493B5C" w:rsidP="00274D38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" w:hAnsi="Calibri"/>
                <w:color w:val="000000"/>
                <w:szCs w:val="22"/>
                <w:lang w:eastAsia="en-AU"/>
              </w:rPr>
            </w:pPr>
            <w:r w:rsidRPr="00493B5C">
              <w:t xml:space="preserve">Domestic, rechargeable and car batteries including </w:t>
            </w:r>
            <w:r w:rsidR="00944582">
              <w:t>n</w:t>
            </w:r>
            <w:r w:rsidRPr="00493B5C">
              <w:t xml:space="preserve">ickel </w:t>
            </w:r>
            <w:r w:rsidR="00944582">
              <w:t>c</w:t>
            </w:r>
            <w:r w:rsidRPr="00493B5C">
              <w:t xml:space="preserve">admium (NiCd), </w:t>
            </w:r>
            <w:r w:rsidR="00944582">
              <w:t>n</w:t>
            </w:r>
            <w:r w:rsidRPr="00493B5C">
              <w:t xml:space="preserve">ickel </w:t>
            </w:r>
            <w:r w:rsidR="00944582">
              <w:t>m</w:t>
            </w:r>
            <w:r w:rsidRPr="00493B5C">
              <w:t xml:space="preserve">etal </w:t>
            </w:r>
            <w:r w:rsidR="00944582">
              <w:t>h</w:t>
            </w:r>
            <w:r w:rsidRPr="00493B5C">
              <w:t xml:space="preserve">ydride (NiMH) and </w:t>
            </w:r>
            <w:r w:rsidR="00944582">
              <w:t>l</w:t>
            </w:r>
            <w:r w:rsidRPr="00493B5C">
              <w:t xml:space="preserve">ithium </w:t>
            </w:r>
            <w:r w:rsidR="00944582">
              <w:t>i</w:t>
            </w:r>
            <w:r w:rsidRPr="00493B5C">
              <w:t>on (Li-Ion)</w:t>
            </w:r>
          </w:p>
        </w:tc>
      </w:tr>
      <w:tr w:rsidR="00493B5C" w:rsidRPr="00493B5C" w14:paraId="3AC2327D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26F1A367" w14:textId="60B9DFC1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 xml:space="preserve">Clinical </w:t>
            </w:r>
            <w:r w:rsidR="009F72C5">
              <w:rPr>
                <w:lang w:eastAsia="en-AU"/>
              </w:rPr>
              <w:t>waste</w:t>
            </w:r>
          </w:p>
        </w:tc>
        <w:tc>
          <w:tcPr>
            <w:tcW w:w="6520" w:type="dxa"/>
          </w:tcPr>
          <w:p w14:paraId="1F166F8D" w14:textId="5564C91C" w:rsidR="00493B5C" w:rsidRPr="00493B5C" w:rsidRDefault="00493B5C" w:rsidP="00D873D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/>
                <w:color w:val="000000"/>
                <w:szCs w:val="22"/>
                <w:lang w:eastAsia="en-AU"/>
              </w:rPr>
            </w:pPr>
            <w:r w:rsidRPr="00493B5C">
              <w:t xml:space="preserve">Any waste items identified as clinical </w:t>
            </w:r>
            <w:r w:rsidR="009F72C5">
              <w:t>waste</w:t>
            </w:r>
            <w:r w:rsidRPr="00493B5C">
              <w:t>, as per EPA guidelines</w:t>
            </w:r>
          </w:p>
        </w:tc>
      </w:tr>
      <w:tr w:rsidR="00493B5C" w:rsidRPr="00493B5C" w14:paraId="2271F74C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</w:tcPr>
          <w:p w14:paraId="4717BD13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Confidential documents</w:t>
            </w:r>
          </w:p>
        </w:tc>
        <w:tc>
          <w:tcPr>
            <w:tcW w:w="6520" w:type="dxa"/>
          </w:tcPr>
          <w:p w14:paraId="74BD6FAB" w14:textId="77777777" w:rsidR="00493B5C" w:rsidRPr="00493B5C" w:rsidRDefault="009D22E1" w:rsidP="00D873D5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Documents containing patient information</w:t>
            </w:r>
            <w:r w:rsidR="00FA5737">
              <w:t xml:space="preserve">, or other confidential information </w:t>
            </w:r>
            <w:r w:rsidR="00862E27">
              <w:t>relating to</w:t>
            </w:r>
            <w:r w:rsidR="00FA5737">
              <w:t xml:space="preserve"> legal, HR or procurement matters</w:t>
            </w:r>
          </w:p>
        </w:tc>
      </w:tr>
      <w:tr w:rsidR="00493B5C" w:rsidRPr="00493B5C" w14:paraId="28B56EF8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0928E1F9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E-waste</w:t>
            </w:r>
          </w:p>
        </w:tc>
        <w:tc>
          <w:tcPr>
            <w:tcW w:w="6520" w:type="dxa"/>
          </w:tcPr>
          <w:p w14:paraId="0071CC40" w14:textId="6BDCE3C3" w:rsidR="00493B5C" w:rsidRPr="00493B5C" w:rsidRDefault="00493B5C" w:rsidP="00274D38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B5C">
              <w:t>Equipment powered by a connection to an electrical outlet or by batteries (</w:t>
            </w:r>
            <w:r w:rsidR="008E5EC3">
              <w:t>such as</w:t>
            </w:r>
            <w:r w:rsidRPr="00493B5C">
              <w:t xml:space="preserve"> televisions, computers, printers and mobile phones) that have been discarded as waste without the intention of re-use</w:t>
            </w:r>
          </w:p>
        </w:tc>
      </w:tr>
      <w:tr w:rsidR="00493B5C" w:rsidRPr="00493B5C" w14:paraId="29CB3FBA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536EF104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 xml:space="preserve">Fluorescent </w:t>
            </w:r>
            <w:r w:rsidR="00621D39">
              <w:rPr>
                <w:lang w:eastAsia="en-AU"/>
              </w:rPr>
              <w:t>b</w:t>
            </w:r>
            <w:r w:rsidRPr="00493B5C">
              <w:rPr>
                <w:lang w:eastAsia="en-AU"/>
              </w:rPr>
              <w:t>ulbs</w:t>
            </w:r>
          </w:p>
        </w:tc>
        <w:tc>
          <w:tcPr>
            <w:tcW w:w="6520" w:type="dxa"/>
          </w:tcPr>
          <w:p w14:paraId="62211263" w14:textId="5D621904" w:rsidR="00493B5C" w:rsidRPr="00493B5C" w:rsidRDefault="00493B5C" w:rsidP="00274D38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93B5C">
              <w:t>Includes compact fluorescent lamps (CFLs), linear fluorescent light bulbs or fluorescent tubes, mercury vapour lamps and high</w:t>
            </w:r>
            <w:r w:rsidR="00635B60">
              <w:t>-</w:t>
            </w:r>
            <w:r w:rsidRPr="00493B5C">
              <w:t>intensity discharge (HID) lamps</w:t>
            </w:r>
          </w:p>
        </w:tc>
      </w:tr>
      <w:tr w:rsidR="00493B5C" w:rsidRPr="00493B5C" w14:paraId="3DA50CA5" w14:textId="77777777" w:rsidTr="0049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75587B4A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Food waste</w:t>
            </w:r>
          </w:p>
        </w:tc>
        <w:tc>
          <w:tcPr>
            <w:tcW w:w="6520" w:type="dxa"/>
          </w:tcPr>
          <w:p w14:paraId="5E7EB2FA" w14:textId="1766A0CC" w:rsidR="00493B5C" w:rsidRPr="00493B5C" w:rsidRDefault="00DE4B83" w:rsidP="00D873D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food waste (a</w:t>
            </w:r>
            <w:r w:rsidR="009D22E1">
              <w:t>voidable and non-avoidable</w:t>
            </w:r>
            <w:r>
              <w:t>)</w:t>
            </w:r>
          </w:p>
        </w:tc>
      </w:tr>
      <w:tr w:rsidR="00493B5C" w:rsidRPr="00493B5C" w14:paraId="0B1059A5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7FE2D806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Furniture</w:t>
            </w:r>
          </w:p>
        </w:tc>
        <w:tc>
          <w:tcPr>
            <w:tcW w:w="6520" w:type="dxa"/>
          </w:tcPr>
          <w:p w14:paraId="3C866653" w14:textId="57336CA1" w:rsidR="00493B5C" w:rsidRPr="00493B5C" w:rsidRDefault="00493B5C" w:rsidP="00D873D5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93B5C">
              <w:t>Repairable or un-damaged furniture</w:t>
            </w:r>
          </w:p>
        </w:tc>
      </w:tr>
      <w:tr w:rsidR="00493B5C" w:rsidRPr="00493B5C" w14:paraId="09264807" w14:textId="77777777" w:rsidTr="0049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0D4BBA1B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Glass</w:t>
            </w:r>
          </w:p>
        </w:tc>
        <w:tc>
          <w:tcPr>
            <w:tcW w:w="6520" w:type="dxa"/>
          </w:tcPr>
          <w:p w14:paraId="2D2F42E6" w14:textId="346C3A00" w:rsidR="00493B5C" w:rsidRPr="00493B5C" w:rsidRDefault="00862E27" w:rsidP="00D873D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Glass i</w:t>
            </w:r>
            <w:r w:rsidR="00493B5C" w:rsidRPr="00493B5C">
              <w:t>n for</w:t>
            </w:r>
            <w:r w:rsidR="00621D39">
              <w:t>ms able to be processed by the health s</w:t>
            </w:r>
            <w:r w:rsidR="00493B5C" w:rsidRPr="00493B5C">
              <w:t>ervice’s recycling contractor</w:t>
            </w:r>
          </w:p>
        </w:tc>
      </w:tr>
      <w:tr w:rsidR="00493B5C" w:rsidRPr="00493B5C" w14:paraId="3AA88373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1CA5D92F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Hard plastic (non-medical items)</w:t>
            </w:r>
          </w:p>
        </w:tc>
        <w:tc>
          <w:tcPr>
            <w:tcW w:w="6520" w:type="dxa"/>
          </w:tcPr>
          <w:p w14:paraId="2189B319" w14:textId="75F3EF5E" w:rsidR="00493B5C" w:rsidRPr="00493B5C" w:rsidRDefault="00A576A4" w:rsidP="00274D38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Displaying c</w:t>
            </w:r>
            <w:r w:rsidR="00493B5C" w:rsidRPr="00493B5C">
              <w:t>odes</w:t>
            </w:r>
            <w:r>
              <w:t xml:space="preserve"> 1</w:t>
            </w:r>
            <w:r w:rsidR="008E5EC3">
              <w:t>–</w:t>
            </w:r>
            <w:r>
              <w:t>5</w:t>
            </w:r>
            <w:r w:rsidR="00493B5C" w:rsidRPr="00493B5C">
              <w:t xml:space="preserve"> </w:t>
            </w:r>
          </w:p>
        </w:tc>
      </w:tr>
      <w:tr w:rsidR="00493B5C" w:rsidRPr="00493B5C" w14:paraId="32A5AE3C" w14:textId="77777777" w:rsidTr="0049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6DC7A38C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Ice bricks</w:t>
            </w:r>
          </w:p>
        </w:tc>
        <w:tc>
          <w:tcPr>
            <w:tcW w:w="6520" w:type="dxa"/>
          </w:tcPr>
          <w:p w14:paraId="1EDA2AB9" w14:textId="2A32DAAB" w:rsidR="00493B5C" w:rsidRPr="00493B5C" w:rsidRDefault="00493B5C" w:rsidP="00D873D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B5C">
              <w:t>Gel coolant packs for transport of pharmaceuticals</w:t>
            </w:r>
          </w:p>
        </w:tc>
      </w:tr>
      <w:tr w:rsidR="00493B5C" w:rsidRPr="00493B5C" w14:paraId="5E557BCD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191A0206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Metals</w:t>
            </w:r>
          </w:p>
        </w:tc>
        <w:tc>
          <w:tcPr>
            <w:tcW w:w="6520" w:type="dxa"/>
          </w:tcPr>
          <w:p w14:paraId="15CC6BEF" w14:textId="68214ABA" w:rsidR="00493B5C" w:rsidRPr="00493B5C" w:rsidRDefault="00493B5C" w:rsidP="00274D38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93B5C">
              <w:t xml:space="preserve">Any metal items </w:t>
            </w:r>
            <w:r w:rsidRPr="00173EC4">
              <w:rPr>
                <w:i/>
              </w:rPr>
              <w:t>excluding</w:t>
            </w:r>
            <w:r w:rsidRPr="00493B5C">
              <w:t xml:space="preserve"> single</w:t>
            </w:r>
            <w:r w:rsidR="00635B60">
              <w:t>-</w:t>
            </w:r>
            <w:r w:rsidRPr="00493B5C">
              <w:t>use metal instruments (</w:t>
            </w:r>
            <w:r w:rsidR="008E5EC3">
              <w:rPr>
                <w:b/>
              </w:rPr>
              <w:t>s</w:t>
            </w:r>
            <w:r w:rsidRPr="00D873D5">
              <w:rPr>
                <w:b/>
              </w:rPr>
              <w:t>ingle</w:t>
            </w:r>
            <w:r w:rsidR="008E5EC3">
              <w:rPr>
                <w:b/>
              </w:rPr>
              <w:t>-u</w:t>
            </w:r>
            <w:r w:rsidRPr="00D873D5">
              <w:rPr>
                <w:b/>
              </w:rPr>
              <w:t xml:space="preserve">se </w:t>
            </w:r>
            <w:r w:rsidR="008E5EC3">
              <w:rPr>
                <w:b/>
              </w:rPr>
              <w:t>m</w:t>
            </w:r>
            <w:r w:rsidR="00170E8B">
              <w:rPr>
                <w:b/>
              </w:rPr>
              <w:t>etal instruments</w:t>
            </w:r>
            <w:r w:rsidRPr="00493B5C">
              <w:t>) and blades or scalpels (</w:t>
            </w:r>
            <w:r w:rsidR="008E5EC3">
              <w:rPr>
                <w:b/>
              </w:rPr>
              <w:t>s</w:t>
            </w:r>
            <w:r w:rsidRPr="00D873D5">
              <w:rPr>
                <w:b/>
              </w:rPr>
              <w:t>harps</w:t>
            </w:r>
            <w:r w:rsidR="00170E8B">
              <w:rPr>
                <w:b/>
              </w:rPr>
              <w:t xml:space="preserve"> waste</w:t>
            </w:r>
            <w:r w:rsidRPr="00493B5C">
              <w:t>)</w:t>
            </w:r>
          </w:p>
        </w:tc>
      </w:tr>
      <w:tr w:rsidR="00493B5C" w:rsidRPr="00493B5C" w14:paraId="0E5DC669" w14:textId="77777777" w:rsidTr="0049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107B485C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Paper/cardboard</w:t>
            </w:r>
          </w:p>
        </w:tc>
        <w:tc>
          <w:tcPr>
            <w:tcW w:w="6520" w:type="dxa"/>
          </w:tcPr>
          <w:p w14:paraId="64939F93" w14:textId="2E9A8FC2" w:rsidR="00493B5C" w:rsidRPr="00493B5C" w:rsidRDefault="00493B5C" w:rsidP="00274D38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B5C">
              <w:t>Not includ</w:t>
            </w:r>
            <w:r w:rsidR="00635B60">
              <w:t>ing</w:t>
            </w:r>
            <w:r w:rsidRPr="00493B5C">
              <w:t xml:space="preserve"> any confidential papers</w:t>
            </w:r>
          </w:p>
        </w:tc>
      </w:tr>
      <w:tr w:rsidR="00493B5C" w:rsidRPr="00493B5C" w14:paraId="6D5ABD45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3E917539" w14:textId="46C9D0FC" w:rsidR="00493B5C" w:rsidRPr="00493B5C" w:rsidRDefault="00436E1C" w:rsidP="00D873D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Pharmaceutical waste</w:t>
            </w:r>
          </w:p>
        </w:tc>
        <w:tc>
          <w:tcPr>
            <w:tcW w:w="6520" w:type="dxa"/>
          </w:tcPr>
          <w:p w14:paraId="6D4AE5B2" w14:textId="4DD6A81B" w:rsidR="00493B5C" w:rsidRPr="00493B5C" w:rsidRDefault="00493B5C" w:rsidP="00D873D5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93B5C">
              <w:t xml:space="preserve">Expired drugs </w:t>
            </w:r>
            <w:r w:rsidR="00436E1C">
              <w:t>or pharmaceutical substances or containers where drugs</w:t>
            </w:r>
            <w:r w:rsidRPr="00493B5C">
              <w:t xml:space="preserve"> have been partially dispensed but not completely used</w:t>
            </w:r>
            <w:r w:rsidR="00436E1C">
              <w:t>.</w:t>
            </w:r>
          </w:p>
        </w:tc>
      </w:tr>
      <w:tr w:rsidR="00493B5C" w:rsidRPr="00493B5C" w14:paraId="2199989B" w14:textId="77777777" w:rsidTr="0049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4D1BF794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Polystyrene</w:t>
            </w:r>
          </w:p>
        </w:tc>
        <w:tc>
          <w:tcPr>
            <w:tcW w:w="6520" w:type="dxa"/>
          </w:tcPr>
          <w:p w14:paraId="44F5B7D1" w14:textId="77777777" w:rsidR="00493B5C" w:rsidRPr="00493B5C" w:rsidRDefault="00621D39" w:rsidP="00D873D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Expanded/extruded polystyrene</w:t>
            </w:r>
          </w:p>
        </w:tc>
      </w:tr>
      <w:tr w:rsidR="00493B5C" w:rsidRPr="00493B5C" w14:paraId="3CAB671B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1C803752" w14:textId="57802AC6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 xml:space="preserve">Printer and </w:t>
            </w:r>
            <w:r w:rsidR="009F3B0D">
              <w:rPr>
                <w:lang w:eastAsia="en-AU"/>
              </w:rPr>
              <w:t>t</w:t>
            </w:r>
            <w:r w:rsidRPr="00493B5C">
              <w:rPr>
                <w:lang w:eastAsia="en-AU"/>
              </w:rPr>
              <w:t xml:space="preserve">oner </w:t>
            </w:r>
            <w:r w:rsidR="009F3B0D">
              <w:rPr>
                <w:lang w:eastAsia="en-AU"/>
              </w:rPr>
              <w:t>c</w:t>
            </w:r>
            <w:r w:rsidRPr="00493B5C">
              <w:rPr>
                <w:lang w:eastAsia="en-AU"/>
              </w:rPr>
              <w:t>artridges</w:t>
            </w:r>
          </w:p>
        </w:tc>
        <w:tc>
          <w:tcPr>
            <w:tcW w:w="6520" w:type="dxa"/>
          </w:tcPr>
          <w:p w14:paraId="7DD7036D" w14:textId="6AF5CA8A" w:rsidR="00493B5C" w:rsidRPr="00493B5C" w:rsidRDefault="008E5EC3" w:rsidP="00D873D5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  <w:r w:rsidR="00AD27C0" w:rsidRPr="00AD27C0">
              <w:t>nkjet cartridges, toner cartridges and toner bottles</w:t>
            </w:r>
          </w:p>
        </w:tc>
      </w:tr>
      <w:tr w:rsidR="00493B5C" w:rsidRPr="00493B5C" w14:paraId="2F1C1E16" w14:textId="77777777" w:rsidTr="0049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169F500D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PVC</w:t>
            </w:r>
          </w:p>
        </w:tc>
        <w:tc>
          <w:tcPr>
            <w:tcW w:w="6520" w:type="dxa"/>
          </w:tcPr>
          <w:p w14:paraId="78CEC302" w14:textId="1A732595" w:rsidR="00493B5C" w:rsidRPr="00493B5C" w:rsidRDefault="00493B5C" w:rsidP="00D873D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B5C">
              <w:t>Oxygen masks and tubing, IV fluid bags a</w:t>
            </w:r>
            <w:r w:rsidR="00AD27C0">
              <w:t>nd suction tubing comp</w:t>
            </w:r>
            <w:r w:rsidR="00635B60">
              <w:t>o</w:t>
            </w:r>
            <w:r w:rsidR="00AD27C0">
              <w:t>sed of c</w:t>
            </w:r>
            <w:r w:rsidRPr="00493B5C">
              <w:t>ode 3 (vinyl) plastic</w:t>
            </w:r>
          </w:p>
        </w:tc>
      </w:tr>
      <w:tr w:rsidR="00493B5C" w:rsidRPr="00493B5C" w14:paraId="6FFBD952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64BAFD4B" w14:textId="6A55FFC5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Single</w:t>
            </w:r>
            <w:r w:rsidR="009F3B0D">
              <w:rPr>
                <w:lang w:eastAsia="en-AU"/>
              </w:rPr>
              <w:t>-</w:t>
            </w:r>
            <w:r w:rsidR="00170E8B">
              <w:rPr>
                <w:lang w:eastAsia="en-AU"/>
              </w:rPr>
              <w:t>use metal instruments</w:t>
            </w:r>
          </w:p>
        </w:tc>
        <w:tc>
          <w:tcPr>
            <w:tcW w:w="6520" w:type="dxa"/>
          </w:tcPr>
          <w:p w14:paraId="74941523" w14:textId="76BD6075" w:rsidR="00493B5C" w:rsidRPr="00493B5C" w:rsidRDefault="00493B5C" w:rsidP="00274D38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93B5C">
              <w:t>Single</w:t>
            </w:r>
            <w:r w:rsidR="00635B60">
              <w:t>-</w:t>
            </w:r>
            <w:r w:rsidRPr="00493B5C">
              <w:t>use metal instruments only. Not to include reusable instruments, blades or scalpels</w:t>
            </w:r>
          </w:p>
        </w:tc>
      </w:tr>
      <w:tr w:rsidR="00170E8B" w:rsidRPr="00493B5C" w14:paraId="310E604F" w14:textId="77777777" w:rsidTr="0049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</w:tcPr>
          <w:p w14:paraId="5A1386FF" w14:textId="21E8468D" w:rsidR="00170E8B" w:rsidRPr="00493B5C" w:rsidRDefault="00170E8B" w:rsidP="00D873D5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Sharps waste</w:t>
            </w:r>
          </w:p>
        </w:tc>
        <w:tc>
          <w:tcPr>
            <w:tcW w:w="6520" w:type="dxa"/>
          </w:tcPr>
          <w:p w14:paraId="3A2ED0D5" w14:textId="7601F9E0" w:rsidR="00170E8B" w:rsidRPr="00493B5C" w:rsidRDefault="00170E8B" w:rsidP="00274D38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0E8B">
              <w:t>Any item that is ab</w:t>
            </w:r>
            <w:r>
              <w:t>le to cut or penetrate the skin</w:t>
            </w:r>
          </w:p>
        </w:tc>
      </w:tr>
      <w:tr w:rsidR="00493B5C" w:rsidRPr="00493B5C" w14:paraId="2BC6EB1C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2BCD1780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Soft plastic (other than PVC)</w:t>
            </w:r>
          </w:p>
        </w:tc>
        <w:tc>
          <w:tcPr>
            <w:tcW w:w="6520" w:type="dxa"/>
          </w:tcPr>
          <w:p w14:paraId="760B54F3" w14:textId="108A7400" w:rsidR="00493B5C" w:rsidRPr="00493B5C" w:rsidRDefault="00493B5C" w:rsidP="00274D38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93B5C">
              <w:t xml:space="preserve">Plastic films, bags, packaging </w:t>
            </w:r>
            <w:r w:rsidR="008E5EC3">
              <w:t>and so on</w:t>
            </w:r>
            <w:r w:rsidRPr="00493B5C">
              <w:t xml:space="preserve"> that cannot be placed in the comingled recycling stream</w:t>
            </w:r>
          </w:p>
        </w:tc>
      </w:tr>
      <w:tr w:rsidR="00493B5C" w:rsidRPr="00493B5C" w14:paraId="36E3B6A9" w14:textId="77777777" w:rsidTr="0049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09365C54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Sterilisation wraps (Kimguard)</w:t>
            </w:r>
          </w:p>
        </w:tc>
        <w:tc>
          <w:tcPr>
            <w:tcW w:w="6520" w:type="dxa"/>
          </w:tcPr>
          <w:p w14:paraId="0580BD1D" w14:textId="77777777" w:rsidR="00493B5C" w:rsidRPr="00493B5C" w:rsidRDefault="008B5217" w:rsidP="00D873D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/>
                <w:color w:val="000000"/>
                <w:szCs w:val="22"/>
                <w:lang w:eastAsia="en-AU"/>
              </w:rPr>
            </w:pPr>
            <w:r w:rsidRPr="008B5217">
              <w:t>Layered polypropylene</w:t>
            </w:r>
            <w:r w:rsidR="00AD27C0">
              <w:t xml:space="preserve"> wrap</w:t>
            </w:r>
          </w:p>
        </w:tc>
      </w:tr>
      <w:tr w:rsidR="00493B5C" w:rsidRPr="00493B5C" w14:paraId="6C12011E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58E342EA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>Textiles</w:t>
            </w:r>
          </w:p>
        </w:tc>
        <w:tc>
          <w:tcPr>
            <w:tcW w:w="6520" w:type="dxa"/>
          </w:tcPr>
          <w:p w14:paraId="218AFCD3" w14:textId="484781A2" w:rsidR="00493B5C" w:rsidRPr="00493B5C" w:rsidRDefault="00862E27" w:rsidP="00D873D5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Arial" w:hAnsi="Calibri"/>
                <w:color w:val="000000"/>
                <w:szCs w:val="22"/>
                <w:lang w:eastAsia="en-AU"/>
              </w:rPr>
            </w:pPr>
            <w:r w:rsidRPr="00247A2F">
              <w:t>Includ</w:t>
            </w:r>
            <w:r>
              <w:t>es</w:t>
            </w:r>
            <w:r w:rsidRPr="00247A2F">
              <w:t xml:space="preserve"> </w:t>
            </w:r>
            <w:r w:rsidR="00A576A4" w:rsidRPr="00247A2F">
              <w:t>huck towels</w:t>
            </w:r>
            <w:r w:rsidR="008E5EC3">
              <w:t xml:space="preserve"> and</w:t>
            </w:r>
            <w:r w:rsidR="00A576A4" w:rsidRPr="00247A2F">
              <w:t xml:space="preserve"> patient clothing</w:t>
            </w:r>
          </w:p>
        </w:tc>
      </w:tr>
      <w:tr w:rsidR="00493B5C" w:rsidRPr="00493B5C" w14:paraId="7D9939D9" w14:textId="77777777" w:rsidTr="00493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  <w:hideMark/>
          </w:tcPr>
          <w:p w14:paraId="09C1CD45" w14:textId="77777777" w:rsidR="00493B5C" w:rsidRPr="00493B5C" w:rsidRDefault="00493B5C" w:rsidP="00D873D5">
            <w:pPr>
              <w:pStyle w:val="DHHStabletext"/>
              <w:rPr>
                <w:lang w:eastAsia="en-AU"/>
              </w:rPr>
            </w:pPr>
            <w:r w:rsidRPr="00493B5C">
              <w:rPr>
                <w:lang w:eastAsia="en-AU"/>
              </w:rPr>
              <w:t xml:space="preserve">Unused </w:t>
            </w:r>
            <w:r w:rsidR="00246981">
              <w:rPr>
                <w:lang w:eastAsia="en-AU"/>
              </w:rPr>
              <w:t>items</w:t>
            </w:r>
            <w:r w:rsidR="00633840">
              <w:rPr>
                <w:lang w:eastAsia="en-AU"/>
              </w:rPr>
              <w:t xml:space="preserve">  </w:t>
            </w:r>
          </w:p>
        </w:tc>
        <w:tc>
          <w:tcPr>
            <w:tcW w:w="6520" w:type="dxa"/>
          </w:tcPr>
          <w:p w14:paraId="6AEC7CCC" w14:textId="02BE819E" w:rsidR="00493B5C" w:rsidRPr="00493B5C" w:rsidRDefault="00862E27" w:rsidP="00D873D5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Includes but is not limited to u</w:t>
            </w:r>
            <w:r w:rsidR="00493B5C" w:rsidRPr="00493B5C">
              <w:t>nopened medical equipment</w:t>
            </w:r>
            <w:r w:rsidR="00635B60">
              <w:t xml:space="preserve"> </w:t>
            </w:r>
            <w:r w:rsidR="00493B5C" w:rsidRPr="00493B5C">
              <w:t xml:space="preserve">that </w:t>
            </w:r>
            <w:r w:rsidR="00493B5C" w:rsidRPr="00D873D5">
              <w:rPr>
                <w:b/>
              </w:rPr>
              <w:t>has not exceeded</w:t>
            </w:r>
            <w:r w:rsidR="00493B5C" w:rsidRPr="00493B5C">
              <w:t xml:space="preserve"> </w:t>
            </w:r>
            <w:r w:rsidR="00493B5C" w:rsidRPr="00FE3733">
              <w:t>its use</w:t>
            </w:r>
            <w:r w:rsidR="00635B60">
              <w:t>-</w:t>
            </w:r>
            <w:r w:rsidR="00493B5C" w:rsidRPr="00493B5C">
              <w:t>by or sterilisation date</w:t>
            </w:r>
          </w:p>
          <w:p w14:paraId="0D7C88D0" w14:textId="6740464F" w:rsidR="00493B5C" w:rsidRPr="00493B5C" w:rsidRDefault="00493B5C" w:rsidP="00274D38">
            <w:pPr>
              <w:pStyle w:val="DHHS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" w:hAnsi="Calibri"/>
                <w:color w:val="000000"/>
                <w:szCs w:val="22"/>
                <w:lang w:eastAsia="en-AU"/>
              </w:rPr>
            </w:pPr>
            <w:r w:rsidRPr="00493B5C">
              <w:t xml:space="preserve">Subcategory – </w:t>
            </w:r>
            <w:r w:rsidR="009F3B0D">
              <w:t>u</w:t>
            </w:r>
            <w:r w:rsidRPr="00493B5C">
              <w:t xml:space="preserve">nopened medical equipment, food etc. that </w:t>
            </w:r>
            <w:r w:rsidRPr="00D873D5">
              <w:rPr>
                <w:b/>
              </w:rPr>
              <w:t xml:space="preserve">has exceeded </w:t>
            </w:r>
            <w:r w:rsidRPr="00FE3733">
              <w:t>its use</w:t>
            </w:r>
            <w:r w:rsidR="00635B60">
              <w:t>-</w:t>
            </w:r>
            <w:r w:rsidRPr="00493B5C">
              <w:t>by or sterilisation date</w:t>
            </w:r>
          </w:p>
        </w:tc>
      </w:tr>
      <w:tr w:rsidR="00493B5C" w:rsidRPr="00493B5C" w14:paraId="7A47F6A4" w14:textId="77777777" w:rsidTr="00493B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noWrap/>
          </w:tcPr>
          <w:p w14:paraId="7A4D3310" w14:textId="77777777" w:rsidR="00493B5C" w:rsidRPr="00493B5C" w:rsidRDefault="00493B5C" w:rsidP="00D873D5">
            <w:pPr>
              <w:pStyle w:val="DHHStabletext"/>
            </w:pPr>
            <w:r w:rsidRPr="00493B5C">
              <w:t>Other</w:t>
            </w:r>
          </w:p>
        </w:tc>
        <w:tc>
          <w:tcPr>
            <w:tcW w:w="6520" w:type="dxa"/>
          </w:tcPr>
          <w:p w14:paraId="4A780AED" w14:textId="0CBD8C9A" w:rsidR="00493B5C" w:rsidRPr="00493B5C" w:rsidRDefault="00493B5C">
            <w:pPr>
              <w:pStyle w:val="DHHS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</w:rPr>
            </w:pPr>
            <w:r w:rsidRPr="00493B5C">
              <w:t>Any other waste items</w:t>
            </w:r>
            <w:r w:rsidR="0058308A">
              <w:t xml:space="preserve"> including c</w:t>
            </w:r>
            <w:r w:rsidRPr="00493B5C">
              <w:t xml:space="preserve">onfidential waste </w:t>
            </w:r>
            <w:r w:rsidR="00AD27C0">
              <w:t>(other than paper)</w:t>
            </w:r>
          </w:p>
        </w:tc>
      </w:tr>
    </w:tbl>
    <w:p w14:paraId="35CDFBE6" w14:textId="77777777" w:rsidR="009D22E1" w:rsidRDefault="009D22E1" w:rsidP="00E73984">
      <w:pPr>
        <w:pStyle w:val="DHHSbody"/>
      </w:pPr>
    </w:p>
    <w:p w14:paraId="09BA53AA" w14:textId="5EC7B7CD" w:rsidR="009D22E1" w:rsidRDefault="009D22E1" w:rsidP="009D22E1">
      <w:pPr>
        <w:pStyle w:val="Heading1"/>
      </w:pPr>
      <w:bookmarkStart w:id="21" w:name="_Toc2000849"/>
      <w:r>
        <w:lastRenderedPageBreak/>
        <w:t>Appen</w:t>
      </w:r>
      <w:r w:rsidR="00CF48FF">
        <w:t>dix 2</w:t>
      </w:r>
      <w:r w:rsidR="00633840">
        <w:t>:</w:t>
      </w:r>
      <w:r w:rsidR="00CF48FF">
        <w:t xml:space="preserve"> Volume estimation p</w:t>
      </w:r>
      <w:r>
        <w:t>rotocols</w:t>
      </w:r>
      <w:bookmarkEnd w:id="21"/>
    </w:p>
    <w:p w14:paraId="4C285E33" w14:textId="589F1AEE" w:rsidR="00085776" w:rsidRPr="00085776" w:rsidRDefault="00085776" w:rsidP="00085776">
      <w:pPr>
        <w:pStyle w:val="DHHSbody"/>
      </w:pPr>
      <w:r>
        <w:t xml:space="preserve">From </w:t>
      </w:r>
      <w:r w:rsidR="003A11FA">
        <w:t xml:space="preserve">the </w:t>
      </w:r>
      <w:hyperlink r:id="rId15" w:history="1">
        <w:r w:rsidRPr="00FE3733">
          <w:rPr>
            <w:rStyle w:val="Hyperlink"/>
            <w:i/>
          </w:rPr>
          <w:t>Victorian public health services waste reporting tool</w:t>
        </w:r>
      </w:hyperlink>
      <w:r>
        <w:t xml:space="preserve"> </w:t>
      </w:r>
      <w:r w:rsidR="003A11FA">
        <w:t>&lt;</w:t>
      </w:r>
      <w:r w:rsidRPr="00085776">
        <w:t>https://www2.health.vic.gov.au/about/publications/FormsAndTemplates/victorian-public-health-services-waste-reporting-tool</w:t>
      </w:r>
      <w:r w:rsidR="003A11FA">
        <w:t>&gt;</w:t>
      </w:r>
    </w:p>
    <w:tbl>
      <w:tblPr>
        <w:tblStyle w:val="LightGrid-Accent1"/>
        <w:tblW w:w="0" w:type="auto"/>
        <w:tblInd w:w="1232" w:type="dxa"/>
        <w:tblLook w:val="04A0" w:firstRow="1" w:lastRow="0" w:firstColumn="1" w:lastColumn="0" w:noHBand="0" w:noVBand="1"/>
      </w:tblPr>
      <w:tblGrid>
        <w:gridCol w:w="2578"/>
        <w:gridCol w:w="2578"/>
        <w:gridCol w:w="2578"/>
      </w:tblGrid>
      <w:tr w:rsidR="00FF7813" w14:paraId="3E351BC2" w14:textId="77777777" w:rsidTr="00FE3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43B2A245" w14:textId="6AD903DC" w:rsidR="00FF7813" w:rsidRDefault="00FF7813" w:rsidP="00EA4313">
            <w:pPr>
              <w:pStyle w:val="DHHSbody"/>
              <w:spacing w:after="0" w:line="240" w:lineRule="auto"/>
            </w:pPr>
            <w:r>
              <w:t xml:space="preserve">Waste </w:t>
            </w:r>
            <w:r w:rsidR="00633840">
              <w:t>t</w:t>
            </w:r>
            <w:r>
              <w:t>ype</w:t>
            </w:r>
          </w:p>
        </w:tc>
        <w:tc>
          <w:tcPr>
            <w:tcW w:w="0" w:type="dxa"/>
            <w:vAlign w:val="center"/>
          </w:tcPr>
          <w:p w14:paraId="3707FF71" w14:textId="2276023D" w:rsidR="00FF7813" w:rsidRDefault="00FF7813" w:rsidP="00D501DB">
            <w:pPr>
              <w:pStyle w:val="DHHS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Broad </w:t>
            </w:r>
            <w:r w:rsidR="00633840">
              <w:t>a</w:t>
            </w:r>
            <w:r>
              <w:t>ctivity</w:t>
            </w:r>
          </w:p>
        </w:tc>
        <w:tc>
          <w:tcPr>
            <w:tcW w:w="0" w:type="dxa"/>
            <w:vAlign w:val="center"/>
          </w:tcPr>
          <w:p w14:paraId="48DF6BBD" w14:textId="77777777" w:rsidR="00FF7813" w:rsidRPr="00FF7813" w:rsidRDefault="00FF7813" w:rsidP="00085776">
            <w:pPr>
              <w:pStyle w:val="DHHSbody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 xml:space="preserve">Density </w:t>
            </w:r>
            <w:r w:rsidR="00633840">
              <w:t xml:space="preserve">in </w:t>
            </w:r>
            <w:r>
              <w:t>kg/m</w:t>
            </w:r>
            <w:r>
              <w:rPr>
                <w:vertAlign w:val="superscript"/>
              </w:rPr>
              <w:t>3</w:t>
            </w:r>
          </w:p>
        </w:tc>
      </w:tr>
      <w:tr w:rsidR="008470CF" w14:paraId="0F99C146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 w:val="restart"/>
            <w:vAlign w:val="center"/>
          </w:tcPr>
          <w:p w14:paraId="1676C31C" w14:textId="77777777" w:rsidR="008470CF" w:rsidRDefault="008470CF" w:rsidP="00085776">
            <w:pPr>
              <w:pStyle w:val="DHHSbody"/>
              <w:spacing w:after="0" w:line="240" w:lineRule="auto"/>
            </w:pPr>
            <w:r>
              <w:t>Clinical waste</w:t>
            </w:r>
          </w:p>
        </w:tc>
        <w:tc>
          <w:tcPr>
            <w:tcW w:w="2578" w:type="dxa"/>
            <w:vAlign w:val="center"/>
          </w:tcPr>
          <w:p w14:paraId="6527D6A5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Anatomical</w:t>
            </w:r>
          </w:p>
        </w:tc>
        <w:tc>
          <w:tcPr>
            <w:tcW w:w="2578" w:type="dxa"/>
            <w:vAlign w:val="center"/>
          </w:tcPr>
          <w:p w14:paraId="4462711A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227</w:t>
            </w:r>
          </w:p>
        </w:tc>
      </w:tr>
      <w:tr w:rsidR="008470CF" w14:paraId="7559CA0D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18985134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26700944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Clinical waste</w:t>
            </w:r>
          </w:p>
        </w:tc>
        <w:tc>
          <w:tcPr>
            <w:tcW w:w="2578" w:type="dxa"/>
            <w:vAlign w:val="center"/>
          </w:tcPr>
          <w:p w14:paraId="33203338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227</w:t>
            </w:r>
          </w:p>
        </w:tc>
      </w:tr>
      <w:tr w:rsidR="008470CF" w14:paraId="4F714BF2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10A94558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48D5F4BE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Cytotoxic</w:t>
            </w:r>
          </w:p>
        </w:tc>
        <w:tc>
          <w:tcPr>
            <w:tcW w:w="2578" w:type="dxa"/>
            <w:vAlign w:val="center"/>
          </w:tcPr>
          <w:p w14:paraId="531B0A91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227</w:t>
            </w:r>
          </w:p>
        </w:tc>
      </w:tr>
      <w:tr w:rsidR="008470CF" w14:paraId="62E187FF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487B52A3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3E1E1B3F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Pharmaceutical</w:t>
            </w:r>
          </w:p>
        </w:tc>
        <w:tc>
          <w:tcPr>
            <w:tcW w:w="2578" w:type="dxa"/>
            <w:vAlign w:val="center"/>
          </w:tcPr>
          <w:p w14:paraId="2408062C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227</w:t>
            </w:r>
          </w:p>
        </w:tc>
      </w:tr>
      <w:tr w:rsidR="008470CF" w14:paraId="11EA3329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012B1C74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6DEF474F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Quarantine</w:t>
            </w:r>
          </w:p>
        </w:tc>
        <w:tc>
          <w:tcPr>
            <w:tcW w:w="2578" w:type="dxa"/>
            <w:vAlign w:val="center"/>
          </w:tcPr>
          <w:p w14:paraId="0F8F923F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227</w:t>
            </w:r>
          </w:p>
        </w:tc>
      </w:tr>
      <w:tr w:rsidR="008470CF" w14:paraId="53816B3D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60B96F2E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44EB15E5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Sharps</w:t>
            </w:r>
          </w:p>
        </w:tc>
        <w:tc>
          <w:tcPr>
            <w:tcW w:w="2578" w:type="dxa"/>
            <w:vAlign w:val="center"/>
          </w:tcPr>
          <w:p w14:paraId="09B3D866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227</w:t>
            </w:r>
          </w:p>
        </w:tc>
      </w:tr>
      <w:tr w:rsidR="008470CF" w14:paraId="41FED7F9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 w:val="restart"/>
            <w:shd w:val="clear" w:color="auto" w:fill="auto"/>
            <w:vAlign w:val="center"/>
          </w:tcPr>
          <w:p w14:paraId="26FBE71E" w14:textId="77777777" w:rsidR="008470CF" w:rsidRDefault="008470CF" w:rsidP="00085776">
            <w:pPr>
              <w:pStyle w:val="DHHSbody"/>
              <w:spacing w:after="0" w:line="240" w:lineRule="auto"/>
            </w:pPr>
            <w:r>
              <w:t>General waste</w:t>
            </w:r>
          </w:p>
        </w:tc>
        <w:tc>
          <w:tcPr>
            <w:tcW w:w="2578" w:type="dxa"/>
            <w:vAlign w:val="center"/>
          </w:tcPr>
          <w:p w14:paraId="28DE2937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Bins</w:t>
            </w:r>
          </w:p>
        </w:tc>
        <w:tc>
          <w:tcPr>
            <w:tcW w:w="2578" w:type="dxa"/>
            <w:vAlign w:val="center"/>
          </w:tcPr>
          <w:p w14:paraId="6DDFE91C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</w:t>
            </w:r>
          </w:p>
        </w:tc>
      </w:tr>
      <w:tr w:rsidR="008470CF" w14:paraId="5E5CCF3A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shd w:val="clear" w:color="auto" w:fill="auto"/>
            <w:vAlign w:val="center"/>
          </w:tcPr>
          <w:p w14:paraId="68B04E96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4EC3B63F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Compactor</w:t>
            </w:r>
          </w:p>
        </w:tc>
        <w:tc>
          <w:tcPr>
            <w:tcW w:w="2578" w:type="dxa"/>
            <w:vAlign w:val="center"/>
          </w:tcPr>
          <w:p w14:paraId="45335BFD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348</w:t>
            </w:r>
          </w:p>
        </w:tc>
      </w:tr>
      <w:tr w:rsidR="008470CF" w14:paraId="0360131C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shd w:val="clear" w:color="auto" w:fill="auto"/>
            <w:vAlign w:val="center"/>
          </w:tcPr>
          <w:p w14:paraId="2986C780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32A054C4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Continence aids</w:t>
            </w:r>
          </w:p>
        </w:tc>
        <w:tc>
          <w:tcPr>
            <w:tcW w:w="2578" w:type="dxa"/>
            <w:vAlign w:val="center"/>
          </w:tcPr>
          <w:p w14:paraId="4BE09FD2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</w:t>
            </w:r>
          </w:p>
        </w:tc>
      </w:tr>
      <w:tr w:rsidR="008470CF" w14:paraId="23EF1EAE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shd w:val="clear" w:color="auto" w:fill="auto"/>
            <w:vAlign w:val="center"/>
          </w:tcPr>
          <w:p w14:paraId="17C9C828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331055BD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Enviropoles – butt bins</w:t>
            </w:r>
          </w:p>
        </w:tc>
        <w:tc>
          <w:tcPr>
            <w:tcW w:w="2578" w:type="dxa"/>
            <w:vAlign w:val="center"/>
          </w:tcPr>
          <w:p w14:paraId="14B5F7C6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170</w:t>
            </w:r>
          </w:p>
        </w:tc>
      </w:tr>
      <w:tr w:rsidR="008470CF" w14:paraId="64F8A9A3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shd w:val="clear" w:color="auto" w:fill="auto"/>
            <w:vAlign w:val="center"/>
          </w:tcPr>
          <w:p w14:paraId="2778B215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5C54A44C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Hygiene waste</w:t>
            </w:r>
          </w:p>
        </w:tc>
        <w:tc>
          <w:tcPr>
            <w:tcW w:w="2578" w:type="dxa"/>
            <w:vAlign w:val="center"/>
          </w:tcPr>
          <w:p w14:paraId="362FDB31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</w:t>
            </w:r>
          </w:p>
        </w:tc>
      </w:tr>
      <w:tr w:rsidR="008470CF" w14:paraId="78894A61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shd w:val="clear" w:color="auto" w:fill="auto"/>
            <w:vAlign w:val="center"/>
          </w:tcPr>
          <w:p w14:paraId="3290ACF4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7347E534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Nappy disposal</w:t>
            </w:r>
          </w:p>
        </w:tc>
        <w:tc>
          <w:tcPr>
            <w:tcW w:w="2578" w:type="dxa"/>
            <w:vAlign w:val="center"/>
          </w:tcPr>
          <w:p w14:paraId="2830F08E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170</w:t>
            </w:r>
          </w:p>
        </w:tc>
      </w:tr>
      <w:tr w:rsidR="008470CF" w14:paraId="75438EFF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shd w:val="clear" w:color="auto" w:fill="auto"/>
            <w:vAlign w:val="center"/>
          </w:tcPr>
          <w:p w14:paraId="45F7606D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3E3B12BC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Sanitary waste</w:t>
            </w:r>
          </w:p>
        </w:tc>
        <w:tc>
          <w:tcPr>
            <w:tcW w:w="2578" w:type="dxa"/>
            <w:vAlign w:val="center"/>
          </w:tcPr>
          <w:p w14:paraId="7B4A87AA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</w:t>
            </w:r>
          </w:p>
        </w:tc>
      </w:tr>
      <w:tr w:rsidR="008470CF" w14:paraId="1A764B13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shd w:val="clear" w:color="auto" w:fill="auto"/>
            <w:vAlign w:val="center"/>
          </w:tcPr>
          <w:p w14:paraId="3BD1D1C9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7B69DD50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Skips</w:t>
            </w:r>
          </w:p>
        </w:tc>
        <w:tc>
          <w:tcPr>
            <w:tcW w:w="2578" w:type="dxa"/>
            <w:vAlign w:val="center"/>
          </w:tcPr>
          <w:p w14:paraId="275C4957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87</w:t>
            </w:r>
          </w:p>
        </w:tc>
      </w:tr>
      <w:tr w:rsidR="00FF7813" w14:paraId="2FFBA920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Align w:val="center"/>
          </w:tcPr>
          <w:p w14:paraId="472AE1C8" w14:textId="77777777" w:rsidR="00FF7813" w:rsidRDefault="00FF7813" w:rsidP="00085776">
            <w:pPr>
              <w:pStyle w:val="DHHSbody"/>
              <w:spacing w:after="0" w:line="240" w:lineRule="auto"/>
            </w:pPr>
            <w:r>
              <w:t>Liquid waste</w:t>
            </w:r>
          </w:p>
        </w:tc>
        <w:tc>
          <w:tcPr>
            <w:tcW w:w="2578" w:type="dxa"/>
            <w:vAlign w:val="center"/>
          </w:tcPr>
          <w:p w14:paraId="5324933E" w14:textId="77777777" w:rsidR="00FF7813" w:rsidRDefault="00FF7813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Grease traps</w:t>
            </w:r>
          </w:p>
        </w:tc>
        <w:tc>
          <w:tcPr>
            <w:tcW w:w="2578" w:type="dxa"/>
            <w:vAlign w:val="center"/>
          </w:tcPr>
          <w:p w14:paraId="3D318658" w14:textId="77777777" w:rsidR="00FF7813" w:rsidRDefault="00480A35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950</w:t>
            </w:r>
          </w:p>
        </w:tc>
      </w:tr>
      <w:tr w:rsidR="008470CF" w14:paraId="4A04C35F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 w:val="restart"/>
            <w:vAlign w:val="center"/>
          </w:tcPr>
          <w:p w14:paraId="6493EB38" w14:textId="77777777" w:rsidR="008470CF" w:rsidRDefault="008470CF" w:rsidP="00085776">
            <w:pPr>
              <w:pStyle w:val="DHHSbody"/>
              <w:spacing w:after="0" w:line="240" w:lineRule="auto"/>
            </w:pPr>
            <w:r>
              <w:t>Recycling</w:t>
            </w:r>
          </w:p>
        </w:tc>
        <w:tc>
          <w:tcPr>
            <w:tcW w:w="2578" w:type="dxa"/>
            <w:vAlign w:val="center"/>
          </w:tcPr>
          <w:p w14:paraId="19B39ED5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Batteries</w:t>
            </w:r>
          </w:p>
        </w:tc>
        <w:tc>
          <w:tcPr>
            <w:tcW w:w="2578" w:type="dxa"/>
            <w:vAlign w:val="center"/>
          </w:tcPr>
          <w:p w14:paraId="1AE122E7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900</w:t>
            </w:r>
          </w:p>
        </w:tc>
      </w:tr>
      <w:tr w:rsidR="008470CF" w14:paraId="4F47153C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33C7E9FB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17680D31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Cardboard</w:t>
            </w:r>
          </w:p>
        </w:tc>
        <w:tc>
          <w:tcPr>
            <w:tcW w:w="2578" w:type="dxa"/>
            <w:vAlign w:val="center"/>
          </w:tcPr>
          <w:p w14:paraId="0DCEBD76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</w:t>
            </w:r>
          </w:p>
        </w:tc>
      </w:tr>
      <w:tr w:rsidR="008470CF" w14:paraId="30D6E61F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75066F91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12F3068A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Commingled</w:t>
            </w:r>
          </w:p>
        </w:tc>
        <w:tc>
          <w:tcPr>
            <w:tcW w:w="2578" w:type="dxa"/>
            <w:vAlign w:val="center"/>
          </w:tcPr>
          <w:p w14:paraId="104E8F2A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110</w:t>
            </w:r>
          </w:p>
        </w:tc>
      </w:tr>
      <w:tr w:rsidR="008470CF" w14:paraId="2D2FE6FD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3F46FF04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21B2086F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E-waste</w:t>
            </w:r>
          </w:p>
        </w:tc>
        <w:tc>
          <w:tcPr>
            <w:tcW w:w="2578" w:type="dxa"/>
            <w:vAlign w:val="center"/>
          </w:tcPr>
          <w:p w14:paraId="45FA44D8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230</w:t>
            </w:r>
          </w:p>
        </w:tc>
      </w:tr>
      <w:tr w:rsidR="008470CF" w14:paraId="0F4C4913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21BD4D8E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76550BA9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Fluorescent tubes</w:t>
            </w:r>
          </w:p>
        </w:tc>
        <w:tc>
          <w:tcPr>
            <w:tcW w:w="2578" w:type="dxa"/>
            <w:vAlign w:val="center"/>
          </w:tcPr>
          <w:p w14:paraId="37AD52BF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285</w:t>
            </w:r>
          </w:p>
        </w:tc>
      </w:tr>
      <w:tr w:rsidR="008470CF" w14:paraId="45E805B4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7C9C0FA7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0A116AE3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Mattresses</w:t>
            </w:r>
          </w:p>
        </w:tc>
        <w:tc>
          <w:tcPr>
            <w:tcW w:w="2578" w:type="dxa"/>
            <w:vAlign w:val="center"/>
          </w:tcPr>
          <w:p w14:paraId="593E4B9F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</w:tr>
      <w:tr w:rsidR="008470CF" w14:paraId="7F984309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712F964A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49A59529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Metals</w:t>
            </w:r>
          </w:p>
        </w:tc>
        <w:tc>
          <w:tcPr>
            <w:tcW w:w="2578" w:type="dxa"/>
            <w:vAlign w:val="center"/>
          </w:tcPr>
          <w:p w14:paraId="70581E88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120</w:t>
            </w:r>
          </w:p>
        </w:tc>
      </w:tr>
      <w:tr w:rsidR="008470CF" w14:paraId="528241D8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0F50A563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23E576D9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Mixed paper/cardboard</w:t>
            </w:r>
          </w:p>
        </w:tc>
        <w:tc>
          <w:tcPr>
            <w:tcW w:w="2578" w:type="dxa"/>
            <w:vAlign w:val="center"/>
          </w:tcPr>
          <w:p w14:paraId="350D18EE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131</w:t>
            </w:r>
          </w:p>
        </w:tc>
      </w:tr>
      <w:tr w:rsidR="008470CF" w14:paraId="3588C5DE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6A24DE12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23685A3E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Mobile phones</w:t>
            </w:r>
          </w:p>
        </w:tc>
        <w:tc>
          <w:tcPr>
            <w:tcW w:w="2578" w:type="dxa"/>
            <w:vAlign w:val="center"/>
          </w:tcPr>
          <w:p w14:paraId="755AC01B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230</w:t>
            </w:r>
          </w:p>
        </w:tc>
      </w:tr>
      <w:tr w:rsidR="008470CF" w14:paraId="0CBF6618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5B1BAB71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4F8CE711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Organics – food waste</w:t>
            </w:r>
          </w:p>
        </w:tc>
        <w:tc>
          <w:tcPr>
            <w:tcW w:w="2578" w:type="dxa"/>
            <w:vAlign w:val="center"/>
          </w:tcPr>
          <w:p w14:paraId="6B8948EC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</w:t>
            </w:r>
          </w:p>
        </w:tc>
      </w:tr>
      <w:tr w:rsidR="008470CF" w14:paraId="53274C38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25BC70FA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4946DA85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Organics – green waste</w:t>
            </w:r>
          </w:p>
        </w:tc>
        <w:tc>
          <w:tcPr>
            <w:tcW w:w="2578" w:type="dxa"/>
            <w:vAlign w:val="center"/>
          </w:tcPr>
          <w:p w14:paraId="3E3A06E5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</w:t>
            </w:r>
          </w:p>
        </w:tc>
      </w:tr>
      <w:tr w:rsidR="008470CF" w14:paraId="4FD65A21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25A3CFB2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1863A0DB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plastics</w:t>
            </w:r>
          </w:p>
        </w:tc>
        <w:tc>
          <w:tcPr>
            <w:tcW w:w="2578" w:type="dxa"/>
            <w:vAlign w:val="center"/>
          </w:tcPr>
          <w:p w14:paraId="411EA615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</w:p>
        </w:tc>
      </w:tr>
      <w:tr w:rsidR="008470CF" w14:paraId="12A8C2C5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6D4C9068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2D4CDF9E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Paper</w:t>
            </w:r>
          </w:p>
        </w:tc>
        <w:tc>
          <w:tcPr>
            <w:tcW w:w="2578" w:type="dxa"/>
            <w:vAlign w:val="center"/>
          </w:tcPr>
          <w:p w14:paraId="792B715C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228</w:t>
            </w:r>
          </w:p>
        </w:tc>
      </w:tr>
      <w:tr w:rsidR="008470CF" w14:paraId="18A556B0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6F44CC37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3D5B5337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Polystyrene foam</w:t>
            </w:r>
          </w:p>
        </w:tc>
        <w:tc>
          <w:tcPr>
            <w:tcW w:w="2578" w:type="dxa"/>
            <w:vAlign w:val="center"/>
          </w:tcPr>
          <w:p w14:paraId="73943AEC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</w:tr>
      <w:tr w:rsidR="008470CF" w14:paraId="124B5EB1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19FB6798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5CC1FAE6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PVC medical</w:t>
            </w:r>
          </w:p>
        </w:tc>
        <w:tc>
          <w:tcPr>
            <w:tcW w:w="2578" w:type="dxa"/>
            <w:vAlign w:val="center"/>
          </w:tcPr>
          <w:p w14:paraId="18C32ABD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</w:t>
            </w:r>
          </w:p>
        </w:tc>
      </w:tr>
      <w:tr w:rsidR="008470CF" w14:paraId="02D34229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707C7175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71198871" w14:textId="2440A69E" w:rsidR="008470CF" w:rsidRDefault="008470CF" w:rsidP="00274D38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Sterilisation wraps</w:t>
            </w:r>
          </w:p>
        </w:tc>
        <w:tc>
          <w:tcPr>
            <w:tcW w:w="2578" w:type="dxa"/>
            <w:vAlign w:val="center"/>
          </w:tcPr>
          <w:p w14:paraId="7B944977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</w:p>
        </w:tc>
      </w:tr>
      <w:tr w:rsidR="008470CF" w14:paraId="08D4E123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7D9DCFF8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2A405C53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Toner and print cartridges</w:t>
            </w:r>
          </w:p>
        </w:tc>
        <w:tc>
          <w:tcPr>
            <w:tcW w:w="2578" w:type="dxa"/>
            <w:vAlign w:val="center"/>
          </w:tcPr>
          <w:p w14:paraId="0222B70B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190</w:t>
            </w:r>
          </w:p>
        </w:tc>
      </w:tr>
      <w:tr w:rsidR="008470CF" w14:paraId="2C07BD17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69CDC1C6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158FB365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Wood/pallets</w:t>
            </w:r>
          </w:p>
        </w:tc>
        <w:tc>
          <w:tcPr>
            <w:tcW w:w="2578" w:type="dxa"/>
            <w:vAlign w:val="center"/>
          </w:tcPr>
          <w:p w14:paraId="44E1F884" w14:textId="77777777" w:rsidR="008470CF" w:rsidRDefault="008470CF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156</w:t>
            </w:r>
          </w:p>
        </w:tc>
      </w:tr>
      <w:tr w:rsidR="008470CF" w14:paraId="78E8AEA9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Merge/>
            <w:vAlign w:val="center"/>
          </w:tcPr>
          <w:p w14:paraId="3FEDECBA" w14:textId="77777777" w:rsidR="008470CF" w:rsidRDefault="008470CF" w:rsidP="00085776">
            <w:pPr>
              <w:pStyle w:val="DHHSbody"/>
              <w:spacing w:after="0" w:line="240" w:lineRule="auto"/>
            </w:pPr>
          </w:p>
        </w:tc>
        <w:tc>
          <w:tcPr>
            <w:tcW w:w="2578" w:type="dxa"/>
            <w:vAlign w:val="center"/>
          </w:tcPr>
          <w:p w14:paraId="259F7F74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X-ray</w:t>
            </w:r>
          </w:p>
        </w:tc>
        <w:tc>
          <w:tcPr>
            <w:tcW w:w="2578" w:type="dxa"/>
            <w:vAlign w:val="center"/>
          </w:tcPr>
          <w:p w14:paraId="72E93D7C" w14:textId="77777777" w:rsidR="008470CF" w:rsidRDefault="008470CF" w:rsidP="00085776">
            <w:pPr>
              <w:pStyle w:val="DHHSbody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300</w:t>
            </w:r>
          </w:p>
        </w:tc>
      </w:tr>
      <w:tr w:rsidR="00FF7813" w14:paraId="71C71E4A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  <w:vAlign w:val="center"/>
          </w:tcPr>
          <w:p w14:paraId="118189E6" w14:textId="77777777" w:rsidR="00FF7813" w:rsidRDefault="00FF7813" w:rsidP="00085776">
            <w:pPr>
              <w:pStyle w:val="DHHSbody"/>
              <w:spacing w:after="0" w:line="240" w:lineRule="auto"/>
            </w:pPr>
            <w:r>
              <w:t>Secure documents</w:t>
            </w:r>
          </w:p>
        </w:tc>
        <w:tc>
          <w:tcPr>
            <w:tcW w:w="2578" w:type="dxa"/>
            <w:vAlign w:val="center"/>
          </w:tcPr>
          <w:p w14:paraId="319403D0" w14:textId="77777777" w:rsidR="00FF7813" w:rsidRDefault="00FF7813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Confidential paper</w:t>
            </w:r>
          </w:p>
        </w:tc>
        <w:tc>
          <w:tcPr>
            <w:tcW w:w="2578" w:type="dxa"/>
            <w:vAlign w:val="center"/>
          </w:tcPr>
          <w:p w14:paraId="16631270" w14:textId="77777777" w:rsidR="00FF7813" w:rsidRDefault="00480A35" w:rsidP="00085776">
            <w:pPr>
              <w:pStyle w:val="DHHSbody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228</w:t>
            </w:r>
          </w:p>
        </w:tc>
      </w:tr>
    </w:tbl>
    <w:p w14:paraId="7EE1E149" w14:textId="77777777" w:rsidR="009D22E1" w:rsidRDefault="009D22E1" w:rsidP="00E73984">
      <w:pPr>
        <w:pStyle w:val="DHHSbody"/>
      </w:pPr>
      <w:r>
        <w:br w:type="page"/>
      </w:r>
    </w:p>
    <w:p w14:paraId="3A8C96A5" w14:textId="5F44C7AD" w:rsidR="009D22E1" w:rsidRDefault="009D22E1" w:rsidP="009D22E1">
      <w:pPr>
        <w:pStyle w:val="Heading1"/>
      </w:pPr>
      <w:bookmarkStart w:id="22" w:name="_Toc2000850"/>
      <w:r>
        <w:lastRenderedPageBreak/>
        <w:t>Appendix 3</w:t>
      </w:r>
      <w:r w:rsidR="00633840">
        <w:t>:</w:t>
      </w:r>
      <w:r>
        <w:t xml:space="preserve"> Audito</w:t>
      </w:r>
      <w:r w:rsidR="00CF48FF">
        <w:t>rs’ c</w:t>
      </w:r>
      <w:r>
        <w:t>hecklist</w:t>
      </w:r>
      <w:bookmarkEnd w:id="22"/>
    </w:p>
    <w:tbl>
      <w:tblPr>
        <w:tblStyle w:val="LightGrid-Accent4"/>
        <w:tblW w:w="10065" w:type="dxa"/>
        <w:tblLook w:val="04A0" w:firstRow="1" w:lastRow="0" w:firstColumn="1" w:lastColumn="0" w:noHBand="0" w:noVBand="1"/>
      </w:tblPr>
      <w:tblGrid>
        <w:gridCol w:w="8789"/>
        <w:gridCol w:w="1276"/>
      </w:tblGrid>
      <w:tr w:rsidR="008B5217" w:rsidRPr="00487626" w14:paraId="349613A7" w14:textId="77777777" w:rsidTr="0063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E7C0BC9" w14:textId="6CAD0E3D" w:rsidR="008B5217" w:rsidRPr="00487626" w:rsidRDefault="008B5217" w:rsidP="008B5217">
            <w:pPr>
              <w:pStyle w:val="DHHSbody"/>
            </w:pPr>
            <w:r>
              <w:t>Task</w:t>
            </w:r>
          </w:p>
        </w:tc>
        <w:tc>
          <w:tcPr>
            <w:tcW w:w="1276" w:type="dxa"/>
          </w:tcPr>
          <w:p w14:paraId="37DD01AD" w14:textId="77777777" w:rsidR="008B5217" w:rsidRPr="00487626" w:rsidRDefault="008B5217" w:rsidP="008B5217">
            <w:pPr>
              <w:pStyle w:val="D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7626">
              <w:t>Completed</w:t>
            </w:r>
          </w:p>
        </w:tc>
      </w:tr>
      <w:tr w:rsidR="00621D39" w14:paraId="114262B9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C7CC448" w14:textId="4608248F" w:rsidR="00621D39" w:rsidRDefault="00621D39" w:rsidP="00621D39">
            <w:pPr>
              <w:pStyle w:val="DHHSbody"/>
              <w:rPr>
                <w:b w:val="0"/>
              </w:rPr>
            </w:pPr>
            <w:r>
              <w:rPr>
                <w:b w:val="0"/>
              </w:rPr>
              <w:t xml:space="preserve">Ensure </w:t>
            </w:r>
            <w:r w:rsidR="003E48AC">
              <w:rPr>
                <w:b w:val="0"/>
              </w:rPr>
              <w:t xml:space="preserve">you </w:t>
            </w:r>
            <w:r>
              <w:rPr>
                <w:b w:val="0"/>
              </w:rPr>
              <w:t xml:space="preserve">have </w:t>
            </w:r>
            <w:r w:rsidRPr="00621D39">
              <w:rPr>
                <w:b w:val="0"/>
              </w:rPr>
              <w:t>appropriate levels of personal and professional indemnity and workers compensation insurances</w:t>
            </w:r>
          </w:p>
        </w:tc>
        <w:tc>
          <w:tcPr>
            <w:tcW w:w="1276" w:type="dxa"/>
          </w:tcPr>
          <w:p w14:paraId="5982FD75" w14:textId="77777777" w:rsidR="00621D39" w:rsidRDefault="00621D39" w:rsidP="008B5217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5217" w14:paraId="35DF3395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AD2184B" w14:textId="416F5917" w:rsidR="008B5217" w:rsidRPr="00487626" w:rsidRDefault="00923AC6" w:rsidP="003A651F">
            <w:pPr>
              <w:pStyle w:val="DHHSbody"/>
              <w:rPr>
                <w:b w:val="0"/>
              </w:rPr>
            </w:pPr>
            <w:r>
              <w:rPr>
                <w:b w:val="0"/>
              </w:rPr>
              <w:t>Organise</w:t>
            </w:r>
            <w:r w:rsidR="008B5217">
              <w:rPr>
                <w:b w:val="0"/>
              </w:rPr>
              <w:t xml:space="preserve"> </w:t>
            </w:r>
            <w:r w:rsidR="003E48AC">
              <w:rPr>
                <w:b w:val="0"/>
              </w:rPr>
              <w:t xml:space="preserve">the </w:t>
            </w:r>
            <w:r w:rsidR="008B5217">
              <w:rPr>
                <w:b w:val="0"/>
              </w:rPr>
              <w:t xml:space="preserve">required PPE and vaccinations </w:t>
            </w:r>
            <w:r w:rsidR="003E48AC">
              <w:rPr>
                <w:b w:val="0"/>
              </w:rPr>
              <w:t xml:space="preserve">before the </w:t>
            </w:r>
            <w:r w:rsidR="008B5217">
              <w:rPr>
                <w:b w:val="0"/>
              </w:rPr>
              <w:t>audit</w:t>
            </w:r>
          </w:p>
        </w:tc>
        <w:tc>
          <w:tcPr>
            <w:tcW w:w="1276" w:type="dxa"/>
          </w:tcPr>
          <w:p w14:paraId="28FABADB" w14:textId="77777777" w:rsidR="008B5217" w:rsidRDefault="008B5217" w:rsidP="008B5217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5217" w14:paraId="7E861407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4ECAB4AB" w14:textId="47919868" w:rsidR="008B5217" w:rsidRPr="00487626" w:rsidRDefault="008B5217" w:rsidP="00AD27C0">
            <w:pPr>
              <w:pStyle w:val="DHHSbody"/>
              <w:rPr>
                <w:b w:val="0"/>
              </w:rPr>
            </w:pPr>
            <w:r>
              <w:rPr>
                <w:b w:val="0"/>
              </w:rPr>
              <w:t xml:space="preserve">Establish with </w:t>
            </w:r>
            <w:r w:rsidR="003E48AC">
              <w:rPr>
                <w:b w:val="0"/>
              </w:rPr>
              <w:t xml:space="preserve">the </w:t>
            </w:r>
            <w:r w:rsidR="00AD27C0">
              <w:rPr>
                <w:b w:val="0"/>
              </w:rPr>
              <w:t xml:space="preserve">health service </w:t>
            </w:r>
            <w:r>
              <w:rPr>
                <w:b w:val="0"/>
              </w:rPr>
              <w:t xml:space="preserve">whether they require a site </w:t>
            </w:r>
            <w:r w:rsidR="00923AC6">
              <w:rPr>
                <w:b w:val="0"/>
              </w:rPr>
              <w:t>analysis to be conducted</w:t>
            </w:r>
          </w:p>
        </w:tc>
        <w:tc>
          <w:tcPr>
            <w:tcW w:w="1276" w:type="dxa"/>
          </w:tcPr>
          <w:p w14:paraId="5181E048" w14:textId="77777777" w:rsidR="008B5217" w:rsidRDefault="008B5217" w:rsidP="008B5217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5217" w14:paraId="63788C54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8BB43A1" w14:textId="3790B9FB" w:rsidR="008B5217" w:rsidRDefault="00923AC6" w:rsidP="00AD27C0">
            <w:pPr>
              <w:pStyle w:val="DHHSbody"/>
              <w:spacing w:after="0"/>
              <w:rPr>
                <w:b w:val="0"/>
              </w:rPr>
            </w:pPr>
            <w:r>
              <w:rPr>
                <w:b w:val="0"/>
              </w:rPr>
              <w:t xml:space="preserve">Attend </w:t>
            </w:r>
            <w:r w:rsidR="003E48AC">
              <w:rPr>
                <w:b w:val="0"/>
              </w:rPr>
              <w:t xml:space="preserve">a </w:t>
            </w:r>
            <w:r>
              <w:rPr>
                <w:b w:val="0"/>
              </w:rPr>
              <w:t xml:space="preserve">pre-audit meeting with </w:t>
            </w:r>
            <w:r w:rsidR="001F7D98">
              <w:rPr>
                <w:b w:val="0"/>
              </w:rPr>
              <w:t>health service</w:t>
            </w:r>
            <w:r>
              <w:rPr>
                <w:b w:val="0"/>
              </w:rPr>
              <w:t xml:space="preserve"> representative</w:t>
            </w:r>
            <w:r w:rsidR="00CA6EA7">
              <w:rPr>
                <w:b w:val="0"/>
              </w:rPr>
              <w:t xml:space="preserve"> to discuss:</w:t>
            </w:r>
          </w:p>
          <w:p w14:paraId="431E77B1" w14:textId="463B90C0" w:rsidR="00CA6EA7" w:rsidRPr="00274D38" w:rsidRDefault="003E48AC" w:rsidP="00D501DB">
            <w:pPr>
              <w:pStyle w:val="DHHSbullet1"/>
              <w:numPr>
                <w:ilvl w:val="0"/>
                <w:numId w:val="9"/>
              </w:numPr>
              <w:rPr>
                <w:b w:val="0"/>
              </w:rPr>
            </w:pPr>
            <w:r>
              <w:rPr>
                <w:b w:val="0"/>
              </w:rPr>
              <w:t xml:space="preserve">the </w:t>
            </w:r>
            <w:r w:rsidR="00CA6EA7" w:rsidRPr="00274D38">
              <w:rPr>
                <w:b w:val="0"/>
              </w:rPr>
              <w:t>audit process</w:t>
            </w:r>
          </w:p>
          <w:p w14:paraId="02E2930D" w14:textId="77777777" w:rsidR="00CA6EA7" w:rsidRPr="00274D38" w:rsidRDefault="00CA6EA7" w:rsidP="00D501DB">
            <w:pPr>
              <w:pStyle w:val="DHHSbullet1"/>
              <w:numPr>
                <w:ilvl w:val="0"/>
                <w:numId w:val="9"/>
              </w:numPr>
              <w:rPr>
                <w:b w:val="0"/>
              </w:rPr>
            </w:pPr>
            <w:r w:rsidRPr="00274D38">
              <w:rPr>
                <w:b w:val="0"/>
              </w:rPr>
              <w:t>provision of audit equipment and site</w:t>
            </w:r>
          </w:p>
          <w:p w14:paraId="493013B8" w14:textId="77777777" w:rsidR="00CA6EA7" w:rsidRPr="00274D38" w:rsidRDefault="00CA6EA7" w:rsidP="00D501DB">
            <w:pPr>
              <w:pStyle w:val="DHHSbullet1"/>
              <w:numPr>
                <w:ilvl w:val="0"/>
                <w:numId w:val="9"/>
              </w:numPr>
              <w:rPr>
                <w:b w:val="0"/>
              </w:rPr>
            </w:pPr>
            <w:r w:rsidRPr="00274D38">
              <w:rPr>
                <w:b w:val="0"/>
              </w:rPr>
              <w:t>timelines</w:t>
            </w:r>
          </w:p>
          <w:p w14:paraId="547143F3" w14:textId="560B6184" w:rsidR="00551FEE" w:rsidRPr="00274D38" w:rsidRDefault="00E90381" w:rsidP="00D501DB">
            <w:pPr>
              <w:pStyle w:val="DHHSbullet1"/>
              <w:numPr>
                <w:ilvl w:val="0"/>
                <w:numId w:val="9"/>
              </w:numPr>
              <w:rPr>
                <w:b w:val="0"/>
              </w:rPr>
            </w:pPr>
            <w:r w:rsidRPr="00274D38">
              <w:rPr>
                <w:b w:val="0"/>
              </w:rPr>
              <w:t xml:space="preserve">provision </w:t>
            </w:r>
            <w:r w:rsidR="00551FEE" w:rsidRPr="00274D38">
              <w:rPr>
                <w:b w:val="0"/>
              </w:rPr>
              <w:t xml:space="preserve">of patient treated </w:t>
            </w:r>
            <w:r w:rsidRPr="00274D38">
              <w:rPr>
                <w:b w:val="0"/>
              </w:rPr>
              <w:t>data to auditor</w:t>
            </w:r>
          </w:p>
          <w:p w14:paraId="1848A469" w14:textId="45D28F3F" w:rsidR="00CA6EA7" w:rsidRPr="00274D38" w:rsidRDefault="00CA6EA7" w:rsidP="00D501DB">
            <w:pPr>
              <w:pStyle w:val="DHHSbullet1"/>
              <w:numPr>
                <w:ilvl w:val="0"/>
                <w:numId w:val="9"/>
              </w:numPr>
              <w:rPr>
                <w:b w:val="0"/>
              </w:rPr>
            </w:pPr>
            <w:r w:rsidRPr="00274D38">
              <w:rPr>
                <w:b w:val="0"/>
              </w:rPr>
              <w:t xml:space="preserve">PPE and </w:t>
            </w:r>
            <w:r w:rsidR="003E48AC" w:rsidRPr="00274D38">
              <w:rPr>
                <w:b w:val="0"/>
              </w:rPr>
              <w:t xml:space="preserve">auditor </w:t>
            </w:r>
            <w:r w:rsidRPr="00274D38">
              <w:rPr>
                <w:b w:val="0"/>
              </w:rPr>
              <w:t xml:space="preserve">vaccinations </w:t>
            </w:r>
          </w:p>
          <w:p w14:paraId="35D80F89" w14:textId="77777777" w:rsidR="00CA6EA7" w:rsidRPr="00487626" w:rsidRDefault="00CA6EA7" w:rsidP="00F2626A">
            <w:pPr>
              <w:pStyle w:val="DHHSbody"/>
              <w:numPr>
                <w:ilvl w:val="0"/>
                <w:numId w:val="9"/>
              </w:numPr>
              <w:rPr>
                <w:b w:val="0"/>
              </w:rPr>
            </w:pPr>
            <w:r>
              <w:rPr>
                <w:b w:val="0"/>
              </w:rPr>
              <w:t>any other issues/requirements</w:t>
            </w:r>
          </w:p>
        </w:tc>
        <w:tc>
          <w:tcPr>
            <w:tcW w:w="1276" w:type="dxa"/>
          </w:tcPr>
          <w:p w14:paraId="3CD8C7DF" w14:textId="77777777" w:rsidR="008B5217" w:rsidRDefault="008B5217" w:rsidP="008B5217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5217" w14:paraId="2595A154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22AC55F3" w14:textId="06C40DCB" w:rsidR="008B5217" w:rsidRPr="00274D38" w:rsidRDefault="001F7D98" w:rsidP="005448A0">
            <w:pPr>
              <w:pStyle w:val="DHHSbullet1"/>
              <w:numPr>
                <w:ilvl w:val="0"/>
                <w:numId w:val="0"/>
              </w:numPr>
              <w:ind w:left="22" w:hanging="22"/>
              <w:rPr>
                <w:b w:val="0"/>
              </w:rPr>
            </w:pPr>
            <w:r w:rsidRPr="00274D38">
              <w:rPr>
                <w:b w:val="0"/>
              </w:rPr>
              <w:t>E</w:t>
            </w:r>
            <w:r w:rsidR="00AD27C0" w:rsidRPr="00274D38">
              <w:rPr>
                <w:b w:val="0"/>
              </w:rPr>
              <w:t>stablish</w:t>
            </w:r>
            <w:r w:rsidR="003E48AC">
              <w:rPr>
                <w:b w:val="0"/>
              </w:rPr>
              <w:t xml:space="preserve"> a</w:t>
            </w:r>
            <w:r w:rsidRPr="00274D38">
              <w:rPr>
                <w:b w:val="0"/>
              </w:rPr>
              <w:t xml:space="preserve"> deadline</w:t>
            </w:r>
            <w:r w:rsidR="00923AC6" w:rsidRPr="00274D38">
              <w:rPr>
                <w:b w:val="0"/>
              </w:rPr>
              <w:t xml:space="preserve"> for when </w:t>
            </w:r>
            <w:r w:rsidR="0038518B" w:rsidRPr="00274D38">
              <w:rPr>
                <w:b w:val="0"/>
              </w:rPr>
              <w:t>patient treated data</w:t>
            </w:r>
            <w:r w:rsidRPr="00274D38">
              <w:rPr>
                <w:b w:val="0"/>
              </w:rPr>
              <w:t xml:space="preserve"> is required from</w:t>
            </w:r>
            <w:r w:rsidR="003E48AC">
              <w:rPr>
                <w:b w:val="0"/>
              </w:rPr>
              <w:t xml:space="preserve"> the</w:t>
            </w:r>
            <w:r w:rsidRPr="00274D38">
              <w:rPr>
                <w:b w:val="0"/>
              </w:rPr>
              <w:t xml:space="preserve"> health service</w:t>
            </w:r>
            <w:r w:rsidR="00170E8B">
              <w:rPr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486A002D" w14:textId="77777777" w:rsidR="008B5217" w:rsidRDefault="008B5217" w:rsidP="008B5217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D98" w14:paraId="32ECED5A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85AEB54" w14:textId="6E1BC5FF" w:rsidR="001F7D98" w:rsidRPr="00274D38" w:rsidRDefault="001F7D98" w:rsidP="00274D38">
            <w:pPr>
              <w:pStyle w:val="DHHSbullet1"/>
              <w:numPr>
                <w:ilvl w:val="0"/>
                <w:numId w:val="0"/>
              </w:numPr>
              <w:ind w:left="284" w:hanging="284"/>
              <w:rPr>
                <w:b w:val="0"/>
              </w:rPr>
            </w:pPr>
            <w:r w:rsidRPr="00274D38">
              <w:rPr>
                <w:b w:val="0"/>
              </w:rPr>
              <w:t>Acquire from</w:t>
            </w:r>
            <w:r w:rsidR="003E48AC">
              <w:rPr>
                <w:b w:val="0"/>
              </w:rPr>
              <w:t xml:space="preserve"> the</w:t>
            </w:r>
            <w:r w:rsidRPr="00274D38">
              <w:rPr>
                <w:b w:val="0"/>
              </w:rPr>
              <w:t xml:space="preserve"> health service estimated kilograms or volume of waste to be audited </w:t>
            </w:r>
          </w:p>
        </w:tc>
        <w:tc>
          <w:tcPr>
            <w:tcW w:w="1276" w:type="dxa"/>
          </w:tcPr>
          <w:p w14:paraId="5302F139" w14:textId="77777777" w:rsidR="001F7D98" w:rsidRDefault="001F7D98" w:rsidP="008B5217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7D98" w14:paraId="5F35C7FA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465A60C6" w14:textId="0DBC830B" w:rsidR="001F7D98" w:rsidRPr="00274D38" w:rsidRDefault="00274D38" w:rsidP="00AF604D">
            <w:pPr>
              <w:pStyle w:val="DHHSbody"/>
              <w:rPr>
                <w:b w:val="0"/>
              </w:rPr>
            </w:pPr>
            <w:r w:rsidRPr="00274D38">
              <w:rPr>
                <w:b w:val="0"/>
              </w:rPr>
              <w:t>Site a</w:t>
            </w:r>
            <w:r w:rsidR="001F7D98" w:rsidRPr="00274D38">
              <w:rPr>
                <w:b w:val="0"/>
              </w:rPr>
              <w:t>nalysis (if requested):</w:t>
            </w:r>
          </w:p>
        </w:tc>
        <w:tc>
          <w:tcPr>
            <w:tcW w:w="1276" w:type="dxa"/>
          </w:tcPr>
          <w:p w14:paraId="143F65EC" w14:textId="77777777" w:rsidR="001F7D98" w:rsidRDefault="001F7D98" w:rsidP="008B5217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D98" w14:paraId="4A6A5644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2D45B955" w14:textId="77777777" w:rsidR="001F7D98" w:rsidRPr="00274D38" w:rsidRDefault="001F7D98" w:rsidP="00D501DB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>List of all waste streams available on ward/department audited</w:t>
            </w:r>
          </w:p>
        </w:tc>
        <w:tc>
          <w:tcPr>
            <w:tcW w:w="1276" w:type="dxa"/>
          </w:tcPr>
          <w:p w14:paraId="66E3C0DA" w14:textId="77777777" w:rsidR="001F7D98" w:rsidRDefault="001F7D98" w:rsidP="008B5217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7D98" w14:paraId="192AAB7D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C7C5E32" w14:textId="77777777" w:rsidR="001F7D98" w:rsidRPr="00274D38" w:rsidRDefault="001F7D98" w:rsidP="00D501DB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>Waste streams/processes that have the potential to be more effective</w:t>
            </w:r>
          </w:p>
        </w:tc>
        <w:tc>
          <w:tcPr>
            <w:tcW w:w="1276" w:type="dxa"/>
          </w:tcPr>
          <w:p w14:paraId="7A3688CA" w14:textId="77777777" w:rsidR="001F7D98" w:rsidRDefault="001F7D98" w:rsidP="008B5217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7D98" w14:paraId="582F73BE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501A8DD" w14:textId="37C6DE62" w:rsidR="001F7D98" w:rsidRPr="00274D38" w:rsidRDefault="001F7D98" w:rsidP="00D501DB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 xml:space="preserve">How findings from </w:t>
            </w:r>
            <w:r w:rsidR="003E48AC">
              <w:rPr>
                <w:b w:val="0"/>
              </w:rPr>
              <w:t xml:space="preserve">the </w:t>
            </w:r>
            <w:r w:rsidRPr="00274D38">
              <w:rPr>
                <w:b w:val="0"/>
              </w:rPr>
              <w:t>analysis may have influenced waste composition findings</w:t>
            </w:r>
          </w:p>
        </w:tc>
        <w:tc>
          <w:tcPr>
            <w:tcW w:w="1276" w:type="dxa"/>
          </w:tcPr>
          <w:p w14:paraId="7BB7E093" w14:textId="77777777" w:rsidR="001F7D98" w:rsidRDefault="001F7D98" w:rsidP="008B5217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7D98" w14:paraId="455D845E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2F78221B" w14:textId="634E1969" w:rsidR="001F7D98" w:rsidRPr="00274D38" w:rsidRDefault="001F7D98" w:rsidP="00D501DB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>Assessment of suitability of bin placement, signage, waste streams provided</w:t>
            </w:r>
          </w:p>
        </w:tc>
        <w:tc>
          <w:tcPr>
            <w:tcW w:w="1276" w:type="dxa"/>
          </w:tcPr>
          <w:p w14:paraId="2EC136BC" w14:textId="77777777" w:rsidR="001F7D98" w:rsidRDefault="001F7D98" w:rsidP="008B5217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ABDB39" w14:textId="77777777" w:rsidR="009D22E1" w:rsidRDefault="009D22E1" w:rsidP="00E73984">
      <w:pPr>
        <w:pStyle w:val="DHHStablecaption"/>
      </w:pPr>
      <w:r>
        <w:t>Report checklist</w:t>
      </w:r>
    </w:p>
    <w:tbl>
      <w:tblPr>
        <w:tblStyle w:val="LightGrid-Accent4"/>
        <w:tblW w:w="10065" w:type="dxa"/>
        <w:tblLook w:val="04A0" w:firstRow="1" w:lastRow="0" w:firstColumn="1" w:lastColumn="0" w:noHBand="0" w:noVBand="1"/>
      </w:tblPr>
      <w:tblGrid>
        <w:gridCol w:w="8789"/>
        <w:gridCol w:w="1276"/>
      </w:tblGrid>
      <w:tr w:rsidR="009D22E1" w14:paraId="524CAFD1" w14:textId="77777777" w:rsidTr="0063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F05E1B6" w14:textId="77777777" w:rsidR="009D22E1" w:rsidRPr="00487626" w:rsidRDefault="009D22E1" w:rsidP="00480A35">
            <w:pPr>
              <w:pStyle w:val="DHHSbody"/>
            </w:pPr>
            <w:r w:rsidRPr="00487626">
              <w:t>Content</w:t>
            </w:r>
          </w:p>
        </w:tc>
        <w:tc>
          <w:tcPr>
            <w:tcW w:w="1276" w:type="dxa"/>
          </w:tcPr>
          <w:p w14:paraId="4FB0F24F" w14:textId="77777777" w:rsidR="009D22E1" w:rsidRPr="00487626" w:rsidRDefault="009D22E1" w:rsidP="00480A35">
            <w:pPr>
              <w:pStyle w:val="D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7626">
              <w:t>Completed</w:t>
            </w:r>
          </w:p>
        </w:tc>
      </w:tr>
      <w:tr w:rsidR="009D22E1" w14:paraId="4ACF09E1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301CD13" w14:textId="77777777" w:rsidR="009D22E1" w:rsidRPr="00487626" w:rsidRDefault="009D22E1" w:rsidP="00480A35">
            <w:pPr>
              <w:pStyle w:val="DHHSbody"/>
              <w:rPr>
                <w:b w:val="0"/>
              </w:rPr>
            </w:pPr>
            <w:r w:rsidRPr="00487626">
              <w:rPr>
                <w:b w:val="0"/>
              </w:rPr>
              <w:t>Executive summary</w:t>
            </w:r>
          </w:p>
        </w:tc>
        <w:tc>
          <w:tcPr>
            <w:tcW w:w="1276" w:type="dxa"/>
          </w:tcPr>
          <w:p w14:paraId="57253E2C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3F956B97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03BAEC29" w14:textId="77777777" w:rsidR="009D22E1" w:rsidRPr="00487626" w:rsidRDefault="009D22E1" w:rsidP="00480A35">
            <w:pPr>
              <w:pStyle w:val="DHHSbody"/>
              <w:rPr>
                <w:b w:val="0"/>
              </w:rPr>
            </w:pPr>
            <w:r w:rsidRPr="00487626">
              <w:rPr>
                <w:b w:val="0"/>
              </w:rPr>
              <w:t xml:space="preserve">Audit methodology </w:t>
            </w:r>
          </w:p>
        </w:tc>
        <w:tc>
          <w:tcPr>
            <w:tcW w:w="1276" w:type="dxa"/>
          </w:tcPr>
          <w:p w14:paraId="35029831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7D98" w14:paraId="668C9113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24D46E3" w14:textId="4631B9BF" w:rsidR="001F7D98" w:rsidRPr="00487626" w:rsidRDefault="001F7D98" w:rsidP="00AF604D">
            <w:pPr>
              <w:pStyle w:val="DHHSbody"/>
              <w:rPr>
                <w:b w:val="0"/>
              </w:rPr>
            </w:pPr>
            <w:r w:rsidRPr="00487626">
              <w:rPr>
                <w:b w:val="0"/>
              </w:rPr>
              <w:t xml:space="preserve">Site </w:t>
            </w:r>
            <w:r w:rsidR="00E73984">
              <w:rPr>
                <w:b w:val="0"/>
              </w:rPr>
              <w:t>a</w:t>
            </w:r>
            <w:r w:rsidRPr="00487626">
              <w:rPr>
                <w:b w:val="0"/>
              </w:rPr>
              <w:t>nalysis</w:t>
            </w:r>
            <w:r>
              <w:rPr>
                <w:b w:val="0"/>
              </w:rPr>
              <w:t xml:space="preserve"> findings (if requested)</w:t>
            </w:r>
          </w:p>
        </w:tc>
        <w:tc>
          <w:tcPr>
            <w:tcW w:w="1276" w:type="dxa"/>
          </w:tcPr>
          <w:p w14:paraId="49A553CC" w14:textId="77777777" w:rsidR="001F7D98" w:rsidRDefault="001F7D98" w:rsidP="00AF604D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598F1D47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9A6692F" w14:textId="77777777" w:rsidR="009D22E1" w:rsidRPr="00487626" w:rsidRDefault="009D22E1" w:rsidP="00480A35">
            <w:pPr>
              <w:pStyle w:val="DHHSbody"/>
              <w:rPr>
                <w:b w:val="0"/>
              </w:rPr>
            </w:pPr>
            <w:r w:rsidRPr="00487626">
              <w:rPr>
                <w:b w:val="0"/>
              </w:rPr>
              <w:t>Data</w:t>
            </w:r>
            <w:r w:rsidR="00246981">
              <w:rPr>
                <w:b w:val="0"/>
              </w:rPr>
              <w:t xml:space="preserve"> collection</w:t>
            </w:r>
            <w:r w:rsidRPr="00487626">
              <w:rPr>
                <w:b w:val="0"/>
              </w:rPr>
              <w:t>:</w:t>
            </w:r>
          </w:p>
        </w:tc>
        <w:tc>
          <w:tcPr>
            <w:tcW w:w="1276" w:type="dxa"/>
          </w:tcPr>
          <w:p w14:paraId="401DFD67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22E1" w14:paraId="5E2B0E1D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26303DC" w14:textId="65BF294C" w:rsidR="009D22E1" w:rsidRPr="00274D38" w:rsidRDefault="009D22E1" w:rsidP="00D501DB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>Total weight (level of accuracy 100</w:t>
            </w:r>
            <w:r w:rsidR="00E73984">
              <w:rPr>
                <w:b w:val="0"/>
              </w:rPr>
              <w:t xml:space="preserve"> </w:t>
            </w:r>
            <w:r w:rsidRPr="00274D38">
              <w:rPr>
                <w:b w:val="0"/>
              </w:rPr>
              <w:t>g) and volume (estimation protocols in Appen</w:t>
            </w:r>
            <w:r w:rsidR="00170E8B">
              <w:rPr>
                <w:b w:val="0"/>
              </w:rPr>
              <w:t>dix 2</w:t>
            </w:r>
            <w:r w:rsidRPr="00274D38">
              <w:rPr>
                <w:b w:val="0"/>
              </w:rPr>
              <w:t>)</w:t>
            </w:r>
          </w:p>
        </w:tc>
        <w:tc>
          <w:tcPr>
            <w:tcW w:w="1276" w:type="dxa"/>
          </w:tcPr>
          <w:p w14:paraId="0B97EB50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593C6571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4C95543" w14:textId="7CAF9DBD" w:rsidR="009D22E1" w:rsidRPr="00274D38" w:rsidRDefault="009D22E1" w:rsidP="00D501DB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 xml:space="preserve">Composition of </w:t>
            </w:r>
            <w:r w:rsidR="003E48AC">
              <w:rPr>
                <w:b w:val="0"/>
              </w:rPr>
              <w:t xml:space="preserve">the </w:t>
            </w:r>
            <w:r w:rsidR="007D3083" w:rsidRPr="00274D38">
              <w:rPr>
                <w:b w:val="0"/>
              </w:rPr>
              <w:t xml:space="preserve">specified </w:t>
            </w:r>
            <w:r w:rsidRPr="00274D38">
              <w:rPr>
                <w:b w:val="0"/>
              </w:rPr>
              <w:t>waste stream by weight and volume using prescribed categories</w:t>
            </w:r>
          </w:p>
        </w:tc>
        <w:tc>
          <w:tcPr>
            <w:tcW w:w="1276" w:type="dxa"/>
          </w:tcPr>
          <w:p w14:paraId="2AD8C64E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22E1" w14:paraId="42CF69DD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D0C8859" w14:textId="78435531" w:rsidR="009D22E1" w:rsidRPr="00274D38" w:rsidRDefault="009D22E1" w:rsidP="00D501DB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>Weigh and volume per patient treated (on ward audited)</w:t>
            </w:r>
          </w:p>
        </w:tc>
        <w:tc>
          <w:tcPr>
            <w:tcW w:w="1276" w:type="dxa"/>
          </w:tcPr>
          <w:p w14:paraId="64D7B88A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20C8FE3B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2A1D140F" w14:textId="3A74E07B" w:rsidR="009D22E1" w:rsidRPr="00274D38" w:rsidRDefault="009D22E1" w:rsidP="00D501DB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>Itemised list of items in</w:t>
            </w:r>
            <w:r w:rsidR="003E48AC">
              <w:rPr>
                <w:b w:val="0"/>
              </w:rPr>
              <w:t xml:space="preserve"> the</w:t>
            </w:r>
            <w:r w:rsidRPr="00274D38">
              <w:rPr>
                <w:b w:val="0"/>
              </w:rPr>
              <w:t xml:space="preserve"> ‘E-waste’ category (if any)</w:t>
            </w:r>
          </w:p>
        </w:tc>
        <w:tc>
          <w:tcPr>
            <w:tcW w:w="1276" w:type="dxa"/>
          </w:tcPr>
          <w:p w14:paraId="389755F2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22E1" w14:paraId="6F1DCBF3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59CDE4B0" w14:textId="0142751F" w:rsidR="009D22E1" w:rsidRPr="00274D38" w:rsidRDefault="009D22E1" w:rsidP="00274D38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>Itemised list and estimated value of items in</w:t>
            </w:r>
            <w:r w:rsidR="003E48AC">
              <w:rPr>
                <w:b w:val="0"/>
              </w:rPr>
              <w:t xml:space="preserve"> the</w:t>
            </w:r>
            <w:r w:rsidRPr="00274D38">
              <w:rPr>
                <w:b w:val="0"/>
              </w:rPr>
              <w:t xml:space="preserve"> ‘Unused </w:t>
            </w:r>
            <w:r w:rsidR="00170E8B">
              <w:rPr>
                <w:b w:val="0"/>
              </w:rPr>
              <w:t>items’</w:t>
            </w:r>
            <w:r w:rsidRPr="00274D38">
              <w:rPr>
                <w:b w:val="0"/>
              </w:rPr>
              <w:t xml:space="preserve"> category (if any)</w:t>
            </w:r>
          </w:p>
        </w:tc>
        <w:tc>
          <w:tcPr>
            <w:tcW w:w="1276" w:type="dxa"/>
          </w:tcPr>
          <w:p w14:paraId="4ACB2A2D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77247802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5260DAE" w14:textId="691870F0" w:rsidR="009D22E1" w:rsidRPr="00274D38" w:rsidRDefault="009D22E1" w:rsidP="00D501DB">
            <w:pPr>
              <w:pStyle w:val="DHHSbullet1"/>
              <w:rPr>
                <w:b w:val="0"/>
              </w:rPr>
            </w:pPr>
            <w:r w:rsidRPr="00274D38">
              <w:rPr>
                <w:b w:val="0"/>
              </w:rPr>
              <w:t>Identification of main items in</w:t>
            </w:r>
            <w:r w:rsidR="003E48AC">
              <w:rPr>
                <w:b w:val="0"/>
              </w:rPr>
              <w:t xml:space="preserve"> the</w:t>
            </w:r>
            <w:r w:rsidRPr="00274D38">
              <w:rPr>
                <w:b w:val="0"/>
              </w:rPr>
              <w:t xml:space="preserve"> ‘Other’ category</w:t>
            </w:r>
          </w:p>
        </w:tc>
        <w:tc>
          <w:tcPr>
            <w:tcW w:w="1276" w:type="dxa"/>
          </w:tcPr>
          <w:p w14:paraId="7FE7B555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22E1" w14:paraId="651D6D3C" w14:textId="77777777" w:rsidTr="00E64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4D1CE7ED" w14:textId="01F7C5F2" w:rsidR="009D22E1" w:rsidRPr="00487626" w:rsidRDefault="009D22E1" w:rsidP="00480A35">
            <w:pPr>
              <w:pStyle w:val="DHHSbody"/>
              <w:rPr>
                <w:b w:val="0"/>
              </w:rPr>
            </w:pPr>
            <w:r w:rsidRPr="00487626">
              <w:rPr>
                <w:b w:val="0"/>
              </w:rPr>
              <w:t xml:space="preserve">Analysis of current costs of </w:t>
            </w:r>
            <w:r w:rsidR="003E48AC">
              <w:rPr>
                <w:b w:val="0"/>
              </w:rPr>
              <w:t xml:space="preserve">the </w:t>
            </w:r>
            <w:r w:rsidRPr="00487626">
              <w:rPr>
                <w:b w:val="0"/>
              </w:rPr>
              <w:t xml:space="preserve">waste stream and potential savings from adopting </w:t>
            </w:r>
            <w:r w:rsidR="003E48AC">
              <w:rPr>
                <w:b w:val="0"/>
              </w:rPr>
              <w:t xml:space="preserve">the </w:t>
            </w:r>
            <w:r w:rsidRPr="00487626">
              <w:rPr>
                <w:b w:val="0"/>
              </w:rPr>
              <w:t>recommendations</w:t>
            </w:r>
          </w:p>
        </w:tc>
        <w:tc>
          <w:tcPr>
            <w:tcW w:w="1276" w:type="dxa"/>
          </w:tcPr>
          <w:p w14:paraId="68FA4B08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5799F8F7" w14:textId="77777777" w:rsidTr="00E647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4F49640" w14:textId="77777777" w:rsidR="009D22E1" w:rsidRPr="00487626" w:rsidRDefault="009D22E1" w:rsidP="00480A35">
            <w:pPr>
              <w:pStyle w:val="DHHSbody"/>
              <w:rPr>
                <w:b w:val="0"/>
              </w:rPr>
            </w:pPr>
            <w:r w:rsidRPr="00487626">
              <w:rPr>
                <w:b w:val="0"/>
              </w:rPr>
              <w:t>Recommendations for improvement</w:t>
            </w:r>
          </w:p>
        </w:tc>
        <w:tc>
          <w:tcPr>
            <w:tcW w:w="1276" w:type="dxa"/>
          </w:tcPr>
          <w:p w14:paraId="2634EDF8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8F10C92" w14:textId="77777777" w:rsidR="009D22E1" w:rsidRDefault="009D22E1" w:rsidP="00E73984">
      <w:pPr>
        <w:pStyle w:val="DHHSbody"/>
      </w:pPr>
    </w:p>
    <w:p w14:paraId="627C2C02" w14:textId="19718086" w:rsidR="009D22E1" w:rsidRDefault="009D22E1" w:rsidP="006C4E56">
      <w:pPr>
        <w:pStyle w:val="Heading1"/>
        <w:spacing w:after="120"/>
      </w:pPr>
      <w:r>
        <w:br w:type="page"/>
      </w:r>
      <w:bookmarkStart w:id="23" w:name="_Toc2000851"/>
      <w:r w:rsidR="00CF48FF">
        <w:lastRenderedPageBreak/>
        <w:t>Appendix 4</w:t>
      </w:r>
      <w:r w:rsidR="00633840">
        <w:t>:</w:t>
      </w:r>
      <w:r w:rsidR="00CF48FF">
        <w:t xml:space="preserve"> Audit s</w:t>
      </w:r>
      <w:r>
        <w:t>heet</w:t>
      </w:r>
      <w:bookmarkEnd w:id="23"/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634"/>
        <w:gridCol w:w="2521"/>
        <w:gridCol w:w="2522"/>
        <w:gridCol w:w="2955"/>
      </w:tblGrid>
      <w:tr w:rsidR="008470CF" w14:paraId="71701A99" w14:textId="77777777" w:rsidTr="00D43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34" w:type="dxa"/>
            <w:shd w:val="clear" w:color="auto" w:fill="auto"/>
          </w:tcPr>
          <w:p w14:paraId="55FDB331" w14:textId="64E78556" w:rsidR="008470CF" w:rsidRPr="008470CF" w:rsidRDefault="008470CF" w:rsidP="008470CF">
            <w:pPr>
              <w:pStyle w:val="DHHSbody"/>
              <w:rPr>
                <w:b/>
              </w:rPr>
            </w:pPr>
            <w:r w:rsidRPr="008470CF">
              <w:rPr>
                <w:b/>
                <w:sz w:val="18"/>
                <w:lang w:eastAsia="en-AU"/>
              </w:rPr>
              <w:t>Waste stream audited</w:t>
            </w:r>
            <w:r w:rsidR="00F139F3">
              <w:rPr>
                <w:b/>
                <w:sz w:val="18"/>
                <w:lang w:eastAsia="en-AU"/>
              </w:rPr>
              <w:t>:</w:t>
            </w:r>
          </w:p>
        </w:tc>
        <w:tc>
          <w:tcPr>
            <w:tcW w:w="2521" w:type="dxa"/>
            <w:shd w:val="clear" w:color="auto" w:fill="auto"/>
          </w:tcPr>
          <w:p w14:paraId="00D041A3" w14:textId="20F3174D" w:rsidR="008470CF" w:rsidRPr="008470CF" w:rsidRDefault="008470CF" w:rsidP="008470CF">
            <w:pPr>
              <w:pStyle w:val="DHHSbody"/>
              <w:rPr>
                <w:b/>
              </w:rPr>
            </w:pPr>
            <w:r w:rsidRPr="008470CF">
              <w:rPr>
                <w:b/>
                <w:sz w:val="18"/>
                <w:lang w:eastAsia="en-AU"/>
              </w:rPr>
              <w:t>Date</w:t>
            </w:r>
            <w:r w:rsidR="00F139F3">
              <w:rPr>
                <w:b/>
                <w:sz w:val="18"/>
                <w:lang w:eastAsia="en-AU"/>
              </w:rPr>
              <w:t>:</w:t>
            </w:r>
          </w:p>
        </w:tc>
        <w:tc>
          <w:tcPr>
            <w:tcW w:w="2522" w:type="dxa"/>
            <w:shd w:val="clear" w:color="auto" w:fill="auto"/>
          </w:tcPr>
          <w:p w14:paraId="5072ADBB" w14:textId="325C6395" w:rsidR="008470CF" w:rsidRPr="008470CF" w:rsidRDefault="008470CF" w:rsidP="008470CF">
            <w:pPr>
              <w:pStyle w:val="DHHSbody"/>
              <w:rPr>
                <w:b/>
              </w:rPr>
            </w:pPr>
            <w:r w:rsidRPr="008470CF">
              <w:rPr>
                <w:b/>
                <w:sz w:val="18"/>
                <w:lang w:eastAsia="en-AU"/>
              </w:rPr>
              <w:t xml:space="preserve">Sheet </w:t>
            </w:r>
            <w:r>
              <w:rPr>
                <w:b/>
                <w:sz w:val="18"/>
                <w:lang w:eastAsia="en-AU"/>
              </w:rPr>
              <w:t>n</w:t>
            </w:r>
            <w:r w:rsidRPr="008470CF">
              <w:rPr>
                <w:b/>
                <w:sz w:val="18"/>
                <w:lang w:eastAsia="en-AU"/>
              </w:rPr>
              <w:t>umber</w:t>
            </w:r>
            <w:r w:rsidR="00F139F3">
              <w:rPr>
                <w:b/>
                <w:sz w:val="18"/>
                <w:lang w:eastAsia="en-AU"/>
              </w:rPr>
              <w:t>:</w:t>
            </w:r>
          </w:p>
        </w:tc>
        <w:tc>
          <w:tcPr>
            <w:tcW w:w="2955" w:type="dxa"/>
            <w:shd w:val="clear" w:color="auto" w:fill="auto"/>
          </w:tcPr>
          <w:p w14:paraId="5A7FBC85" w14:textId="1D651FE0" w:rsidR="008470CF" w:rsidRPr="008470CF" w:rsidRDefault="008470CF" w:rsidP="008470CF">
            <w:pPr>
              <w:pStyle w:val="DHHSbody"/>
              <w:rPr>
                <w:b/>
              </w:rPr>
            </w:pPr>
            <w:r w:rsidRPr="008470CF">
              <w:rPr>
                <w:b/>
                <w:sz w:val="18"/>
                <w:lang w:eastAsia="en-AU"/>
              </w:rPr>
              <w:t>Department/</w:t>
            </w:r>
            <w:r>
              <w:rPr>
                <w:b/>
                <w:sz w:val="18"/>
                <w:lang w:eastAsia="en-AU"/>
              </w:rPr>
              <w:t>w</w:t>
            </w:r>
            <w:r w:rsidRPr="008470CF">
              <w:rPr>
                <w:b/>
                <w:sz w:val="18"/>
                <w:lang w:eastAsia="en-AU"/>
              </w:rPr>
              <w:t>ard</w:t>
            </w:r>
            <w:r w:rsidR="00F139F3">
              <w:rPr>
                <w:b/>
                <w:sz w:val="18"/>
                <w:lang w:eastAsia="en-AU"/>
              </w:rPr>
              <w:t>:</w:t>
            </w:r>
          </w:p>
        </w:tc>
      </w:tr>
      <w:tr w:rsidR="008470CF" w14:paraId="4CBCF8E2" w14:textId="77777777" w:rsidTr="008470CF">
        <w:tc>
          <w:tcPr>
            <w:tcW w:w="2634" w:type="dxa"/>
            <w:shd w:val="clear" w:color="auto" w:fill="auto"/>
          </w:tcPr>
          <w:p w14:paraId="74B94914" w14:textId="77777777" w:rsidR="008470CF" w:rsidRDefault="008470CF" w:rsidP="008470CF">
            <w:pPr>
              <w:pStyle w:val="DHHSbody"/>
            </w:pPr>
          </w:p>
        </w:tc>
        <w:tc>
          <w:tcPr>
            <w:tcW w:w="2521" w:type="dxa"/>
            <w:shd w:val="clear" w:color="auto" w:fill="auto"/>
          </w:tcPr>
          <w:p w14:paraId="03357AE2" w14:textId="77777777" w:rsidR="008470CF" w:rsidRDefault="008470CF" w:rsidP="008470CF">
            <w:pPr>
              <w:pStyle w:val="DHHSbody"/>
            </w:pPr>
          </w:p>
        </w:tc>
        <w:tc>
          <w:tcPr>
            <w:tcW w:w="2522" w:type="dxa"/>
            <w:shd w:val="clear" w:color="auto" w:fill="auto"/>
          </w:tcPr>
          <w:p w14:paraId="35B7D1E5" w14:textId="77777777" w:rsidR="008470CF" w:rsidRDefault="008470CF" w:rsidP="008470CF">
            <w:pPr>
              <w:pStyle w:val="DHHSbody"/>
            </w:pPr>
          </w:p>
        </w:tc>
        <w:tc>
          <w:tcPr>
            <w:tcW w:w="2955" w:type="dxa"/>
            <w:shd w:val="clear" w:color="auto" w:fill="auto"/>
          </w:tcPr>
          <w:p w14:paraId="67FC14F5" w14:textId="77777777" w:rsidR="008470CF" w:rsidRDefault="008470CF" w:rsidP="008470CF">
            <w:pPr>
              <w:pStyle w:val="DHHSbody"/>
            </w:pPr>
          </w:p>
        </w:tc>
      </w:tr>
    </w:tbl>
    <w:tbl>
      <w:tblPr>
        <w:tblStyle w:val="LightGrid-Accent4"/>
        <w:tblpPr w:leftFromText="180" w:rightFromText="180" w:vertAnchor="page" w:horzAnchor="margin" w:tblpY="2947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559"/>
        <w:gridCol w:w="1417"/>
        <w:gridCol w:w="1560"/>
        <w:gridCol w:w="1559"/>
      </w:tblGrid>
      <w:tr w:rsidR="008470CF" w:rsidRPr="00E16E46" w14:paraId="5481F336" w14:textId="77777777" w:rsidTr="00544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shd w:val="clear" w:color="auto" w:fill="ECACBF" w:themeFill="accent1" w:themeFillTint="66"/>
            <w:noWrap/>
            <w:hideMark/>
          </w:tcPr>
          <w:p w14:paraId="0E5009BF" w14:textId="77777777" w:rsidR="008470CF" w:rsidRPr="00AD27C0" w:rsidRDefault="008470CF" w:rsidP="008470CF">
            <w:pPr>
              <w:pStyle w:val="DHHSbody"/>
              <w:spacing w:after="0"/>
              <w:rPr>
                <w:sz w:val="18"/>
                <w:lang w:eastAsia="en-AU"/>
              </w:rPr>
            </w:pPr>
            <w:r w:rsidRPr="00AD27C0">
              <w:rPr>
                <w:sz w:val="18"/>
                <w:lang w:eastAsia="en-AU"/>
              </w:rPr>
              <w:t>Material</w:t>
            </w:r>
          </w:p>
        </w:tc>
        <w:tc>
          <w:tcPr>
            <w:tcW w:w="1843" w:type="dxa"/>
            <w:vMerge w:val="restart"/>
            <w:shd w:val="clear" w:color="auto" w:fill="ECACBF" w:themeFill="accent1" w:themeFillTint="66"/>
          </w:tcPr>
          <w:p w14:paraId="2F929504" w14:textId="77777777" w:rsidR="008470CF" w:rsidRPr="008470CF" w:rsidRDefault="008470CF" w:rsidP="008470CF">
            <w:pPr>
              <w:pStyle w:val="DHHS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en-AU"/>
              </w:rPr>
            </w:pPr>
            <w:r w:rsidRPr="008470CF">
              <w:rPr>
                <w:sz w:val="18"/>
                <w:lang w:eastAsia="en-AU"/>
              </w:rPr>
              <w:t>Recycling available on ward?</w:t>
            </w:r>
          </w:p>
        </w:tc>
        <w:tc>
          <w:tcPr>
            <w:tcW w:w="2976" w:type="dxa"/>
            <w:gridSpan w:val="2"/>
            <w:shd w:val="clear" w:color="auto" w:fill="ECACBF" w:themeFill="accent1" w:themeFillTint="66"/>
            <w:noWrap/>
            <w:hideMark/>
          </w:tcPr>
          <w:p w14:paraId="256B8FE0" w14:textId="77777777" w:rsidR="008470CF" w:rsidRPr="008470CF" w:rsidRDefault="008470CF" w:rsidP="008470CF">
            <w:pPr>
              <w:pStyle w:val="DHHS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en-AU"/>
              </w:rPr>
            </w:pPr>
            <w:r w:rsidRPr="008470CF">
              <w:rPr>
                <w:sz w:val="18"/>
                <w:lang w:eastAsia="en-AU"/>
              </w:rPr>
              <w:t>Weight</w:t>
            </w:r>
          </w:p>
        </w:tc>
        <w:tc>
          <w:tcPr>
            <w:tcW w:w="3119" w:type="dxa"/>
            <w:gridSpan w:val="2"/>
            <w:shd w:val="clear" w:color="auto" w:fill="ECACBF" w:themeFill="accent1" w:themeFillTint="66"/>
          </w:tcPr>
          <w:p w14:paraId="2A7B3A8D" w14:textId="77777777" w:rsidR="008470CF" w:rsidRPr="008470CF" w:rsidRDefault="008470CF" w:rsidP="008470CF">
            <w:pPr>
              <w:pStyle w:val="DHHSbody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en-AU"/>
              </w:rPr>
            </w:pPr>
            <w:r w:rsidRPr="008470CF">
              <w:rPr>
                <w:sz w:val="18"/>
                <w:lang w:eastAsia="en-AU"/>
              </w:rPr>
              <w:t>Volume</w:t>
            </w:r>
          </w:p>
        </w:tc>
      </w:tr>
      <w:tr w:rsidR="008470CF" w:rsidRPr="00E16E46" w14:paraId="5A83253F" w14:textId="77777777" w:rsidTr="00544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noWrap/>
          </w:tcPr>
          <w:p w14:paraId="185C3D1B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</w:p>
        </w:tc>
        <w:tc>
          <w:tcPr>
            <w:tcW w:w="1843" w:type="dxa"/>
            <w:vMerge/>
          </w:tcPr>
          <w:p w14:paraId="25A0EA29" w14:textId="77777777" w:rsidR="008470CF" w:rsidRPr="00AD27C0" w:rsidRDefault="008470CF" w:rsidP="008470CF">
            <w:pPr>
              <w:pStyle w:val="DHHS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5D5DF" w:themeFill="accent1" w:themeFillTint="33"/>
            <w:noWrap/>
          </w:tcPr>
          <w:p w14:paraId="2943E6F6" w14:textId="77777777" w:rsidR="008470CF" w:rsidRPr="00FE3733" w:rsidRDefault="008470CF" w:rsidP="008470CF">
            <w:pPr>
              <w:pStyle w:val="DHHS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en-AU"/>
              </w:rPr>
            </w:pPr>
            <w:r w:rsidRPr="008470CF">
              <w:rPr>
                <w:sz w:val="18"/>
                <w:lang w:eastAsia="en-AU"/>
              </w:rPr>
              <w:t>Kg</w:t>
            </w:r>
          </w:p>
        </w:tc>
        <w:tc>
          <w:tcPr>
            <w:tcW w:w="1417" w:type="dxa"/>
            <w:shd w:val="clear" w:color="auto" w:fill="F5D5DF" w:themeFill="accent1" w:themeFillTint="33"/>
          </w:tcPr>
          <w:p w14:paraId="2D002A75" w14:textId="77777777" w:rsidR="008470CF" w:rsidRPr="00FE3733" w:rsidRDefault="008470CF" w:rsidP="008470CF">
            <w:pPr>
              <w:pStyle w:val="DHHS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en-AU"/>
              </w:rPr>
            </w:pPr>
            <w:r w:rsidRPr="008470CF">
              <w:rPr>
                <w:sz w:val="18"/>
                <w:lang w:eastAsia="en-AU"/>
              </w:rPr>
              <w:t>%</w:t>
            </w:r>
          </w:p>
        </w:tc>
        <w:tc>
          <w:tcPr>
            <w:tcW w:w="1560" w:type="dxa"/>
            <w:shd w:val="clear" w:color="auto" w:fill="F5D5DF" w:themeFill="accent1" w:themeFillTint="33"/>
          </w:tcPr>
          <w:p w14:paraId="7A69A218" w14:textId="03E57654" w:rsidR="008470CF" w:rsidRPr="00722D5F" w:rsidRDefault="00722D5F" w:rsidP="008470CF">
            <w:pPr>
              <w:pStyle w:val="DHHS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vertAlign w:val="superscript"/>
                <w:lang w:eastAsia="en-AU"/>
              </w:rPr>
            </w:pPr>
            <w:r>
              <w:rPr>
                <w:sz w:val="18"/>
                <w:lang w:eastAsia="en-AU"/>
              </w:rPr>
              <w:t>M</w:t>
            </w:r>
            <w:r>
              <w:rPr>
                <w:sz w:val="18"/>
                <w:vertAlign w:val="superscript"/>
                <w:lang w:eastAsia="en-AU"/>
              </w:rPr>
              <w:t>3</w:t>
            </w:r>
          </w:p>
        </w:tc>
        <w:tc>
          <w:tcPr>
            <w:tcW w:w="1559" w:type="dxa"/>
            <w:shd w:val="clear" w:color="auto" w:fill="F5D5DF" w:themeFill="accent1" w:themeFillTint="33"/>
          </w:tcPr>
          <w:p w14:paraId="417C5985" w14:textId="77777777" w:rsidR="008470CF" w:rsidRPr="00FE3733" w:rsidRDefault="008470CF" w:rsidP="008470CF">
            <w:pPr>
              <w:pStyle w:val="DHHS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eastAsia="en-AU"/>
              </w:rPr>
            </w:pPr>
            <w:r w:rsidRPr="008470CF">
              <w:rPr>
                <w:sz w:val="18"/>
                <w:lang w:eastAsia="en-AU"/>
              </w:rPr>
              <w:t>%</w:t>
            </w:r>
          </w:p>
        </w:tc>
      </w:tr>
      <w:tr w:rsidR="008470CF" w:rsidRPr="00E16E46" w14:paraId="69EEB4C0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</w:tcPr>
          <w:p w14:paraId="7438CB3C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Anatomical waste</w:t>
            </w:r>
          </w:p>
        </w:tc>
        <w:tc>
          <w:tcPr>
            <w:tcW w:w="1843" w:type="dxa"/>
            <w:shd w:val="clear" w:color="auto" w:fill="FFFFFF" w:themeFill="background1"/>
          </w:tcPr>
          <w:p w14:paraId="41D9A579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  <w:r>
              <w:rPr>
                <w:sz w:val="18"/>
                <w:lang w:eastAsia="en-AU"/>
              </w:rPr>
              <w:t>n.a.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55ADE35B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F7F01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C1F6D2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26C20A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70E118E5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05990FA8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Batteries</w:t>
            </w:r>
          </w:p>
        </w:tc>
        <w:tc>
          <w:tcPr>
            <w:tcW w:w="1843" w:type="dxa"/>
            <w:shd w:val="clear" w:color="auto" w:fill="FFFFFF" w:themeFill="background1"/>
          </w:tcPr>
          <w:p w14:paraId="5BFA6317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FB85900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E3B2134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759750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3AC695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0AF2518E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0684F012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Clinical waste</w:t>
            </w:r>
          </w:p>
        </w:tc>
        <w:tc>
          <w:tcPr>
            <w:tcW w:w="1843" w:type="dxa"/>
            <w:shd w:val="clear" w:color="auto" w:fill="FFFFFF" w:themeFill="background1"/>
          </w:tcPr>
          <w:p w14:paraId="34FAA527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  <w:r>
              <w:rPr>
                <w:sz w:val="18"/>
                <w:lang w:eastAsia="en-AU"/>
              </w:rPr>
              <w:t>n.a.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E9E8F01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3E0D7ED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C892A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AE54A7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74A4F4BA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</w:tcPr>
          <w:p w14:paraId="0D2F619F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Confidential documents</w:t>
            </w:r>
          </w:p>
        </w:tc>
        <w:tc>
          <w:tcPr>
            <w:tcW w:w="1843" w:type="dxa"/>
            <w:shd w:val="clear" w:color="auto" w:fill="FFFFFF" w:themeFill="background1"/>
          </w:tcPr>
          <w:p w14:paraId="6DC0CA9B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14:paraId="18297ED8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F3D28E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E139E6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76FBC1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5233F521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774D66B3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E-waste (itemised)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6F69C6DA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7FE93B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7539A2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830BC25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AE8512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456B65FD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2E4FDAEA" w14:textId="4B84988F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 xml:space="preserve">Fluorescent </w:t>
            </w:r>
            <w:r w:rsidR="00150712">
              <w:rPr>
                <w:b w:val="0"/>
                <w:sz w:val="18"/>
                <w:lang w:eastAsia="en-AU"/>
              </w:rPr>
              <w:t>b</w:t>
            </w:r>
            <w:r w:rsidRPr="00AD27C0">
              <w:rPr>
                <w:b w:val="0"/>
                <w:sz w:val="18"/>
                <w:lang w:eastAsia="en-AU"/>
              </w:rPr>
              <w:t>ulbs</w:t>
            </w:r>
          </w:p>
        </w:tc>
        <w:tc>
          <w:tcPr>
            <w:tcW w:w="1843" w:type="dxa"/>
            <w:shd w:val="clear" w:color="auto" w:fill="FFFFFF" w:themeFill="background1"/>
          </w:tcPr>
          <w:p w14:paraId="488E1A60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E96A6C6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88C1DC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81FD26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D967AF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50CE0D2B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44346457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Food waste</w:t>
            </w:r>
          </w:p>
        </w:tc>
        <w:tc>
          <w:tcPr>
            <w:tcW w:w="1843" w:type="dxa"/>
            <w:shd w:val="clear" w:color="auto" w:fill="FFFFFF" w:themeFill="background1"/>
          </w:tcPr>
          <w:p w14:paraId="28FA37BF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2396192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60E6F3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88A1A3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ADCE3F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36F6F5BC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0BDC1300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Furniture</w:t>
            </w:r>
          </w:p>
        </w:tc>
        <w:tc>
          <w:tcPr>
            <w:tcW w:w="1843" w:type="dxa"/>
            <w:shd w:val="clear" w:color="auto" w:fill="FFFFFF" w:themeFill="background1"/>
          </w:tcPr>
          <w:p w14:paraId="14D19B74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8456A50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0C493E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62A29F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057219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3D535C4D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3B3E002B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Glass</w:t>
            </w:r>
          </w:p>
        </w:tc>
        <w:tc>
          <w:tcPr>
            <w:tcW w:w="1843" w:type="dxa"/>
            <w:shd w:val="clear" w:color="auto" w:fill="FFFFFF" w:themeFill="background1"/>
          </w:tcPr>
          <w:p w14:paraId="5499476A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7558687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716946D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48F9F5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A9F61C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73CA2FDF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4208BE6E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Hard plastics (non-medical)</w:t>
            </w:r>
          </w:p>
        </w:tc>
        <w:tc>
          <w:tcPr>
            <w:tcW w:w="1843" w:type="dxa"/>
            <w:shd w:val="clear" w:color="auto" w:fill="FFFFFF" w:themeFill="background1"/>
          </w:tcPr>
          <w:p w14:paraId="647E4E3C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C8C508D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FB1BA0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5F79E7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D47645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168937BE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2E9B7320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Ice bricks</w:t>
            </w:r>
          </w:p>
        </w:tc>
        <w:tc>
          <w:tcPr>
            <w:tcW w:w="1843" w:type="dxa"/>
            <w:shd w:val="clear" w:color="auto" w:fill="FFFFFF" w:themeFill="background1"/>
          </w:tcPr>
          <w:p w14:paraId="1C9C68DF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76FE91C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4EB68E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BE4830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E45B2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4EE58F7C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292C2853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Metals</w:t>
            </w:r>
          </w:p>
        </w:tc>
        <w:tc>
          <w:tcPr>
            <w:tcW w:w="1843" w:type="dxa"/>
            <w:shd w:val="clear" w:color="auto" w:fill="FFFFFF" w:themeFill="background1"/>
          </w:tcPr>
          <w:p w14:paraId="1E13C9C0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82F9D2B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AD7354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2E4F54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DA64658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58955616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57BE6901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Paper/cardboard</w:t>
            </w:r>
          </w:p>
        </w:tc>
        <w:tc>
          <w:tcPr>
            <w:tcW w:w="1843" w:type="dxa"/>
            <w:shd w:val="clear" w:color="auto" w:fill="FFFFFF" w:themeFill="background1"/>
          </w:tcPr>
          <w:p w14:paraId="3ECF26DA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C124AB8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C9404C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B47A1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BC1C4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308BA6A3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74146DB8" w14:textId="15C72142" w:rsidR="008470CF" w:rsidRPr="00AD27C0" w:rsidRDefault="00170E8B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>
              <w:rPr>
                <w:b w:val="0"/>
                <w:sz w:val="18"/>
                <w:lang w:eastAsia="en-AU"/>
              </w:rPr>
              <w:t>Pharmaceutical waste</w:t>
            </w:r>
          </w:p>
        </w:tc>
        <w:tc>
          <w:tcPr>
            <w:tcW w:w="1843" w:type="dxa"/>
            <w:shd w:val="clear" w:color="auto" w:fill="FFFFFF" w:themeFill="background1"/>
          </w:tcPr>
          <w:p w14:paraId="4EC222FB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  <w:r>
              <w:rPr>
                <w:sz w:val="18"/>
                <w:lang w:eastAsia="en-AU"/>
              </w:rPr>
              <w:t>n.a.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8C4C9D5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7FB145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C06315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8A5ED41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6315A4BB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788494C0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Polystyrene</w:t>
            </w:r>
          </w:p>
        </w:tc>
        <w:tc>
          <w:tcPr>
            <w:tcW w:w="1843" w:type="dxa"/>
            <w:shd w:val="clear" w:color="auto" w:fill="FFFFFF" w:themeFill="background1"/>
          </w:tcPr>
          <w:p w14:paraId="114B8C47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A514375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A9593CE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541770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13CFC0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3FBDA7DB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505D8BAD" w14:textId="262B66A8" w:rsidR="008470CF" w:rsidRPr="00AD27C0" w:rsidRDefault="008470CF" w:rsidP="00274D38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 xml:space="preserve">Printer and </w:t>
            </w:r>
            <w:r w:rsidR="00150712">
              <w:rPr>
                <w:b w:val="0"/>
                <w:sz w:val="18"/>
                <w:lang w:eastAsia="en-AU"/>
              </w:rPr>
              <w:t>t</w:t>
            </w:r>
            <w:r w:rsidRPr="00AD27C0">
              <w:rPr>
                <w:b w:val="0"/>
                <w:sz w:val="18"/>
                <w:lang w:eastAsia="en-AU"/>
              </w:rPr>
              <w:t xml:space="preserve">oner </w:t>
            </w:r>
            <w:r w:rsidR="00150712">
              <w:rPr>
                <w:b w:val="0"/>
                <w:sz w:val="18"/>
                <w:lang w:eastAsia="en-AU"/>
              </w:rPr>
              <w:t>c</w:t>
            </w:r>
            <w:r w:rsidRPr="00AD27C0">
              <w:rPr>
                <w:b w:val="0"/>
                <w:sz w:val="18"/>
                <w:lang w:eastAsia="en-AU"/>
              </w:rPr>
              <w:t>artridges</w:t>
            </w:r>
          </w:p>
        </w:tc>
        <w:tc>
          <w:tcPr>
            <w:tcW w:w="1843" w:type="dxa"/>
            <w:shd w:val="clear" w:color="auto" w:fill="FFFFFF" w:themeFill="background1"/>
          </w:tcPr>
          <w:p w14:paraId="2FC43B59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6259476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ABD1F27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60DC0F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E6EA78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789C2C56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</w:tcPr>
          <w:p w14:paraId="69DD411E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PVC</w:t>
            </w:r>
          </w:p>
        </w:tc>
        <w:tc>
          <w:tcPr>
            <w:tcW w:w="1843" w:type="dxa"/>
            <w:shd w:val="clear" w:color="auto" w:fill="FFFFFF" w:themeFill="background1"/>
          </w:tcPr>
          <w:p w14:paraId="6817FD7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14:paraId="7B633802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868A202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11BF52D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899A002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5A9A4B37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</w:tcPr>
          <w:p w14:paraId="1A5DE79D" w14:textId="4942E201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Sharps</w:t>
            </w:r>
            <w:r w:rsidR="00170E8B">
              <w:rPr>
                <w:b w:val="0"/>
                <w:sz w:val="18"/>
                <w:lang w:eastAsia="en-AU"/>
              </w:rPr>
              <w:t xml:space="preserve"> waste</w:t>
            </w:r>
          </w:p>
        </w:tc>
        <w:tc>
          <w:tcPr>
            <w:tcW w:w="1843" w:type="dxa"/>
            <w:shd w:val="clear" w:color="auto" w:fill="FFFFFF" w:themeFill="background1"/>
          </w:tcPr>
          <w:p w14:paraId="1F8B3BFE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  <w:r>
              <w:rPr>
                <w:sz w:val="18"/>
                <w:lang w:eastAsia="en-AU"/>
              </w:rPr>
              <w:t>n.a.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14:paraId="3B893D77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7CEEE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9A4BFE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B620658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5F2B9578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6C445060" w14:textId="6A0E1013" w:rsidR="008470CF" w:rsidRPr="00AD27C0" w:rsidRDefault="008470CF" w:rsidP="00274D38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Single</w:t>
            </w:r>
            <w:r w:rsidR="00150712">
              <w:rPr>
                <w:b w:val="0"/>
                <w:sz w:val="18"/>
                <w:lang w:eastAsia="en-AU"/>
              </w:rPr>
              <w:t>-</w:t>
            </w:r>
            <w:r w:rsidRPr="00AD27C0">
              <w:rPr>
                <w:b w:val="0"/>
                <w:sz w:val="18"/>
                <w:lang w:eastAsia="en-AU"/>
              </w:rPr>
              <w:t>use metals</w:t>
            </w:r>
          </w:p>
        </w:tc>
        <w:tc>
          <w:tcPr>
            <w:tcW w:w="1843" w:type="dxa"/>
            <w:shd w:val="clear" w:color="auto" w:fill="FFFFFF" w:themeFill="background1"/>
          </w:tcPr>
          <w:p w14:paraId="13CC5316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09C2F29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CA0C4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455469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C41377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2E55A380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2612033F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Soft plastic (other than PVC)</w:t>
            </w:r>
          </w:p>
        </w:tc>
        <w:tc>
          <w:tcPr>
            <w:tcW w:w="1843" w:type="dxa"/>
            <w:shd w:val="clear" w:color="auto" w:fill="FFFFFF" w:themeFill="background1"/>
          </w:tcPr>
          <w:p w14:paraId="1C135BE2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DB8B855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845671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F5046B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7B74EC4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659D0684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266E275D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Sterilisation wrap (Kimguard)</w:t>
            </w:r>
          </w:p>
        </w:tc>
        <w:tc>
          <w:tcPr>
            <w:tcW w:w="1843" w:type="dxa"/>
            <w:shd w:val="clear" w:color="auto" w:fill="FFFFFF" w:themeFill="background1"/>
          </w:tcPr>
          <w:p w14:paraId="6AE8E7A9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40C262D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1212F7D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127AF8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854460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29E873E9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  <w:hideMark/>
          </w:tcPr>
          <w:p w14:paraId="540FE8AB" w14:textId="77777777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>Textiles</w:t>
            </w:r>
          </w:p>
        </w:tc>
        <w:tc>
          <w:tcPr>
            <w:tcW w:w="1843" w:type="dxa"/>
            <w:shd w:val="clear" w:color="auto" w:fill="FFFFFF" w:themeFill="background1"/>
          </w:tcPr>
          <w:p w14:paraId="015DC57C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56DE5F7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1BE5E2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4EFA6F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EA3B0E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4582167E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</w:tcPr>
          <w:p w14:paraId="55B373CE" w14:textId="6253BED1" w:rsidR="008470CF" w:rsidRPr="00AD27C0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AD27C0">
              <w:rPr>
                <w:b w:val="0"/>
                <w:sz w:val="18"/>
                <w:lang w:eastAsia="en-AU"/>
              </w:rPr>
              <w:t xml:space="preserve">Unused </w:t>
            </w:r>
            <w:r w:rsidR="00170E8B">
              <w:rPr>
                <w:b w:val="0"/>
                <w:sz w:val="18"/>
                <w:lang w:eastAsia="en-AU"/>
              </w:rPr>
              <w:t>items</w:t>
            </w:r>
            <w:r w:rsidRPr="00AD27C0">
              <w:rPr>
                <w:b w:val="0"/>
                <w:sz w:val="18"/>
                <w:lang w:eastAsia="en-AU"/>
              </w:rPr>
              <w:t xml:space="preserve"> (itemised and estimated value) </w:t>
            </w:r>
          </w:p>
        </w:tc>
        <w:tc>
          <w:tcPr>
            <w:tcW w:w="1843" w:type="dxa"/>
            <w:shd w:val="clear" w:color="auto" w:fill="FFFFFF" w:themeFill="background1"/>
          </w:tcPr>
          <w:p w14:paraId="606E8E96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14:paraId="0C60E7CA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A8D4F2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3FE3A54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109070" w14:textId="77777777" w:rsidR="008470CF" w:rsidRPr="00493B5C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4269B6B9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  <w:noWrap/>
          </w:tcPr>
          <w:p w14:paraId="2AA5B8B7" w14:textId="77777777" w:rsidR="008470CF" w:rsidRPr="00AD27C0" w:rsidRDefault="008470CF" w:rsidP="008470CF">
            <w:pPr>
              <w:pStyle w:val="DHHSbody"/>
              <w:spacing w:after="0"/>
              <w:rPr>
                <w:rFonts w:eastAsiaTheme="majorEastAsia"/>
                <w:b w:val="0"/>
                <w:sz w:val="18"/>
              </w:rPr>
            </w:pPr>
            <w:r w:rsidRPr="00AD27C0">
              <w:rPr>
                <w:rFonts w:eastAsiaTheme="majorEastAsia"/>
                <w:b w:val="0"/>
                <w:sz w:val="18"/>
              </w:rPr>
              <w:t>Other (itemised)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32AC0F43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sz w:val="18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14:paraId="0DD23B75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3FC13B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E4EA73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02F47A" w14:textId="77777777" w:rsidR="008470CF" w:rsidRPr="00493B5C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lang w:eastAsia="en-AU"/>
              </w:rPr>
            </w:pPr>
          </w:p>
        </w:tc>
      </w:tr>
      <w:tr w:rsidR="008470CF" w:rsidRPr="00E16E46" w14:paraId="1F55CC87" w14:textId="77777777" w:rsidTr="008470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F5D5DF" w:themeFill="accent1" w:themeFillTint="33"/>
            <w:noWrap/>
          </w:tcPr>
          <w:p w14:paraId="6C93BF35" w14:textId="77777777" w:rsidR="008470CF" w:rsidRPr="00AD27C0" w:rsidRDefault="008470CF" w:rsidP="008470CF">
            <w:pPr>
              <w:pStyle w:val="DHHSbody"/>
              <w:spacing w:after="0"/>
              <w:jc w:val="right"/>
              <w:rPr>
                <w:rFonts w:eastAsiaTheme="majorEastAsia"/>
                <w:sz w:val="18"/>
              </w:rPr>
            </w:pPr>
            <w:r w:rsidRPr="00AD27C0">
              <w:rPr>
                <w:rFonts w:eastAsiaTheme="majorEastAsia"/>
                <w:sz w:val="18"/>
              </w:rPr>
              <w:t>Total:</w:t>
            </w:r>
          </w:p>
        </w:tc>
        <w:tc>
          <w:tcPr>
            <w:tcW w:w="1559" w:type="dxa"/>
            <w:shd w:val="clear" w:color="auto" w:fill="F5D5DF" w:themeFill="accent1" w:themeFillTint="33"/>
            <w:noWrap/>
          </w:tcPr>
          <w:p w14:paraId="7B1B3296" w14:textId="77777777" w:rsidR="008470CF" w:rsidRPr="00AD27C0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5D5DF" w:themeFill="accent1" w:themeFillTint="33"/>
          </w:tcPr>
          <w:p w14:paraId="5D7098B4" w14:textId="77777777" w:rsidR="008470CF" w:rsidRPr="00AD27C0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lang w:eastAsia="en-AU"/>
              </w:rPr>
            </w:pPr>
          </w:p>
        </w:tc>
        <w:tc>
          <w:tcPr>
            <w:tcW w:w="1560" w:type="dxa"/>
            <w:shd w:val="clear" w:color="auto" w:fill="F5D5DF" w:themeFill="accent1" w:themeFillTint="33"/>
          </w:tcPr>
          <w:p w14:paraId="439F271A" w14:textId="77777777" w:rsidR="008470CF" w:rsidRPr="00AD27C0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5D5DF" w:themeFill="accent1" w:themeFillTint="33"/>
          </w:tcPr>
          <w:p w14:paraId="4BABF7FF" w14:textId="77777777" w:rsidR="008470CF" w:rsidRPr="00AD27C0" w:rsidRDefault="008470CF" w:rsidP="008470CF">
            <w:pPr>
              <w:pStyle w:val="DHHSbody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lang w:eastAsia="en-AU"/>
              </w:rPr>
            </w:pPr>
          </w:p>
        </w:tc>
      </w:tr>
      <w:tr w:rsidR="008470CF" w:rsidRPr="00E16E46" w14:paraId="4ED509C7" w14:textId="77777777" w:rsidTr="00847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F5D5DF" w:themeFill="accent1" w:themeFillTint="33"/>
            <w:noWrap/>
          </w:tcPr>
          <w:p w14:paraId="15302811" w14:textId="77777777" w:rsidR="008470CF" w:rsidRDefault="008470CF" w:rsidP="008470CF">
            <w:pPr>
              <w:pStyle w:val="DHHSbody"/>
              <w:spacing w:after="0"/>
              <w:jc w:val="right"/>
              <w:rPr>
                <w:rFonts w:eastAsiaTheme="majorEastAsia"/>
                <w:sz w:val="18"/>
              </w:rPr>
            </w:pPr>
            <w:r>
              <w:rPr>
                <w:rFonts w:eastAsiaTheme="majorEastAsia"/>
                <w:sz w:val="18"/>
              </w:rPr>
              <w:t xml:space="preserve">Total per </w:t>
            </w:r>
            <w:r>
              <w:t>patient treated:</w:t>
            </w:r>
          </w:p>
        </w:tc>
        <w:tc>
          <w:tcPr>
            <w:tcW w:w="1559" w:type="dxa"/>
            <w:shd w:val="clear" w:color="auto" w:fill="F5D5DF" w:themeFill="accent1" w:themeFillTint="33"/>
            <w:noWrap/>
          </w:tcPr>
          <w:p w14:paraId="737DCFE4" w14:textId="77777777" w:rsidR="008470CF" w:rsidRPr="00AD27C0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lang w:eastAsia="en-AU"/>
              </w:rPr>
            </w:pPr>
          </w:p>
        </w:tc>
        <w:tc>
          <w:tcPr>
            <w:tcW w:w="1417" w:type="dxa"/>
            <w:shd w:val="clear" w:color="auto" w:fill="F5D5DF" w:themeFill="accent1" w:themeFillTint="33"/>
          </w:tcPr>
          <w:p w14:paraId="3C9D551D" w14:textId="18BA5172" w:rsidR="008470CF" w:rsidRPr="00AD27C0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lang w:eastAsia="en-AU"/>
              </w:rPr>
            </w:pPr>
            <w:r>
              <w:rPr>
                <w:b/>
                <w:sz w:val="18"/>
                <w:lang w:eastAsia="en-AU"/>
              </w:rPr>
              <w:t>–</w:t>
            </w:r>
          </w:p>
        </w:tc>
        <w:tc>
          <w:tcPr>
            <w:tcW w:w="1560" w:type="dxa"/>
            <w:shd w:val="clear" w:color="auto" w:fill="F5D5DF" w:themeFill="accent1" w:themeFillTint="33"/>
          </w:tcPr>
          <w:p w14:paraId="7AD719F7" w14:textId="77777777" w:rsidR="008470CF" w:rsidRPr="00AD27C0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lang w:eastAsia="en-AU"/>
              </w:rPr>
            </w:pPr>
          </w:p>
        </w:tc>
        <w:tc>
          <w:tcPr>
            <w:tcW w:w="1559" w:type="dxa"/>
            <w:shd w:val="clear" w:color="auto" w:fill="F5D5DF" w:themeFill="accent1" w:themeFillTint="33"/>
          </w:tcPr>
          <w:p w14:paraId="290C102B" w14:textId="3ED33823" w:rsidR="008470CF" w:rsidRPr="00AD27C0" w:rsidRDefault="008470CF" w:rsidP="008470CF">
            <w:pPr>
              <w:pStyle w:val="DHHSbody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8"/>
                <w:lang w:eastAsia="en-AU"/>
              </w:rPr>
            </w:pPr>
            <w:r>
              <w:rPr>
                <w:b/>
                <w:sz w:val="18"/>
                <w:lang w:eastAsia="en-AU"/>
              </w:rPr>
              <w:t>–</w:t>
            </w:r>
          </w:p>
        </w:tc>
      </w:tr>
      <w:tr w:rsidR="008470CF" w:rsidRPr="00E16E46" w14:paraId="34EB118D" w14:textId="77777777" w:rsidTr="00544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8" w:type="dxa"/>
            <w:gridSpan w:val="6"/>
            <w:shd w:val="clear" w:color="auto" w:fill="FFFFFF" w:themeFill="background1"/>
            <w:noWrap/>
          </w:tcPr>
          <w:p w14:paraId="71B7D81F" w14:textId="77777777" w:rsidR="008470CF" w:rsidRPr="00493B5C" w:rsidRDefault="008470CF" w:rsidP="008470CF">
            <w:pPr>
              <w:pStyle w:val="DHHSbody"/>
              <w:spacing w:after="0"/>
              <w:rPr>
                <w:b w:val="0"/>
                <w:sz w:val="18"/>
                <w:lang w:eastAsia="en-AU"/>
              </w:rPr>
            </w:pPr>
            <w:r w:rsidRPr="00493B5C">
              <w:rPr>
                <w:b w:val="0"/>
                <w:sz w:val="18"/>
                <w:lang w:eastAsia="en-AU"/>
              </w:rPr>
              <w:t>Notes:</w:t>
            </w:r>
          </w:p>
        </w:tc>
      </w:tr>
    </w:tbl>
    <w:p w14:paraId="08A4D5F0" w14:textId="77777777" w:rsidR="008470CF" w:rsidRPr="008470CF" w:rsidRDefault="008470CF" w:rsidP="008470CF">
      <w:pPr>
        <w:pStyle w:val="DHHSbody"/>
      </w:pPr>
    </w:p>
    <w:p w14:paraId="139D2B78" w14:textId="6DBDE860" w:rsidR="009D22E1" w:rsidRDefault="00150712" w:rsidP="00170E8B">
      <w:pPr>
        <w:pStyle w:val="Heading1"/>
        <w:spacing w:after="120"/>
      </w:pPr>
      <w:r>
        <w:br w:type="page"/>
      </w:r>
      <w:bookmarkStart w:id="24" w:name="_Toc2000852"/>
      <w:r w:rsidR="00CF48FF">
        <w:lastRenderedPageBreak/>
        <w:t>Appendix 5</w:t>
      </w:r>
      <w:r w:rsidR="00633840">
        <w:t>:</w:t>
      </w:r>
      <w:r w:rsidR="00CF48FF">
        <w:t xml:space="preserve"> Health services’ c</w:t>
      </w:r>
      <w:r w:rsidR="009D22E1">
        <w:t>hecklist</w:t>
      </w:r>
      <w:bookmarkEnd w:id="24"/>
    </w:p>
    <w:p w14:paraId="0F9943F5" w14:textId="77777777" w:rsidR="009D22E1" w:rsidRDefault="009D22E1" w:rsidP="009D22E1">
      <w:pPr>
        <w:pStyle w:val="Heading3"/>
      </w:pPr>
      <w:r>
        <w:t>Have you…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1408"/>
        <w:gridCol w:w="7459"/>
        <w:gridCol w:w="1317"/>
      </w:tblGrid>
      <w:tr w:rsidR="00834C52" w14:paraId="5CC18694" w14:textId="77777777" w:rsidTr="0017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3DF347A" w14:textId="6039AE5A" w:rsidR="00834C52" w:rsidRPr="00E73984" w:rsidRDefault="00CF78F8" w:rsidP="00170E8B">
            <w:pPr>
              <w:pStyle w:val="DHHSbody"/>
            </w:pPr>
            <w:r w:rsidRPr="00170E8B">
              <w:t>Timing</w:t>
            </w:r>
          </w:p>
        </w:tc>
        <w:tc>
          <w:tcPr>
            <w:tcW w:w="7459" w:type="dxa"/>
          </w:tcPr>
          <w:p w14:paraId="05D0CBAC" w14:textId="64F41BE6" w:rsidR="00834C52" w:rsidRPr="00FE3733" w:rsidRDefault="00834C52" w:rsidP="00170E8B">
            <w:pPr>
              <w:pStyle w:val="D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3840">
              <w:t xml:space="preserve">Action </w:t>
            </w:r>
          </w:p>
        </w:tc>
        <w:tc>
          <w:tcPr>
            <w:tcW w:w="1317" w:type="dxa"/>
          </w:tcPr>
          <w:p w14:paraId="36224BC5" w14:textId="77777777" w:rsidR="00834C52" w:rsidRPr="00487626" w:rsidRDefault="00834C52" w:rsidP="00170E8B">
            <w:pPr>
              <w:pStyle w:val="D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7626">
              <w:t>Completed</w:t>
            </w:r>
          </w:p>
        </w:tc>
      </w:tr>
      <w:tr w:rsidR="00CF78F8" w14:paraId="53B14F49" w14:textId="77777777" w:rsidTr="0083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</w:tcPr>
          <w:p w14:paraId="3707DB0C" w14:textId="3ACB46E9" w:rsidR="00CF78F8" w:rsidRPr="00834C52" w:rsidRDefault="00CF78F8" w:rsidP="00CF78F8">
            <w:pPr>
              <w:pStyle w:val="DHHStabletext"/>
            </w:pPr>
            <w:r w:rsidRPr="00834C52">
              <w:rPr>
                <w:b w:val="0"/>
              </w:rPr>
              <w:t>Prior to audit:</w:t>
            </w:r>
          </w:p>
        </w:tc>
        <w:tc>
          <w:tcPr>
            <w:tcW w:w="7459" w:type="dxa"/>
          </w:tcPr>
          <w:p w14:paraId="4656F243" w14:textId="236C2047" w:rsidR="00CF78F8" w:rsidRPr="00834C52" w:rsidRDefault="00CF78F8" w:rsidP="00CF78F8">
            <w:pPr>
              <w:pStyle w:val="DHHS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4C52">
              <w:t>Identif</w:t>
            </w:r>
            <w:r w:rsidR="00150712">
              <w:t>ied</w:t>
            </w:r>
            <w:r w:rsidRPr="00834C52">
              <w:t xml:space="preserve"> which ward/department(s) are to be audited</w:t>
            </w:r>
          </w:p>
        </w:tc>
        <w:tc>
          <w:tcPr>
            <w:tcW w:w="1317" w:type="dxa"/>
          </w:tcPr>
          <w:p w14:paraId="1098DF0A" w14:textId="77777777" w:rsidR="00CF78F8" w:rsidRDefault="00CF78F8" w:rsidP="00F2626A">
            <w:pPr>
              <w:pStyle w:val="DHHSbody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8F8" w14:paraId="28266E47" w14:textId="77777777" w:rsidTr="0083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01216B82" w14:textId="77777777" w:rsidR="00CF78F8" w:rsidRPr="00834C52" w:rsidRDefault="00CF78F8" w:rsidP="00CF78F8">
            <w:pPr>
              <w:pStyle w:val="DHHStabletext"/>
            </w:pPr>
          </w:p>
        </w:tc>
        <w:tc>
          <w:tcPr>
            <w:tcW w:w="7459" w:type="dxa"/>
          </w:tcPr>
          <w:p w14:paraId="543B7664" w14:textId="061F1026" w:rsidR="00CF78F8" w:rsidRPr="00834C52" w:rsidRDefault="00CF78F8" w:rsidP="00CF78F8">
            <w:pPr>
              <w:pStyle w:val="DHHS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>Identif</w:t>
            </w:r>
            <w:r w:rsidR="00150712">
              <w:t>ied</w:t>
            </w:r>
            <w:r w:rsidRPr="00834C52">
              <w:t xml:space="preserve"> the waste stream(s) to be audited</w:t>
            </w:r>
          </w:p>
        </w:tc>
        <w:tc>
          <w:tcPr>
            <w:tcW w:w="1317" w:type="dxa"/>
          </w:tcPr>
          <w:p w14:paraId="0839B020" w14:textId="77777777" w:rsidR="00CF78F8" w:rsidRDefault="00CF78F8" w:rsidP="00F2626A">
            <w:pPr>
              <w:pStyle w:val="DHHSbody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F78F8" w14:paraId="4BE044E1" w14:textId="77777777" w:rsidTr="0083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2010EDC4" w14:textId="77777777" w:rsidR="00CF78F8" w:rsidRPr="00834C52" w:rsidRDefault="00CF78F8" w:rsidP="00CF78F8">
            <w:pPr>
              <w:pStyle w:val="DHHStabletext"/>
            </w:pPr>
          </w:p>
        </w:tc>
        <w:tc>
          <w:tcPr>
            <w:tcW w:w="7459" w:type="dxa"/>
          </w:tcPr>
          <w:p w14:paraId="65616B8A" w14:textId="57D827E2" w:rsidR="00CF78F8" w:rsidRPr="00834C52" w:rsidRDefault="00CF78F8" w:rsidP="00CF78F8">
            <w:pPr>
              <w:pStyle w:val="DHHS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4C52">
              <w:t>Engage</w:t>
            </w:r>
            <w:r w:rsidR="00150712">
              <w:t>d</w:t>
            </w:r>
            <w:r w:rsidRPr="00834C52">
              <w:t xml:space="preserve"> </w:t>
            </w:r>
            <w:r w:rsidR="00150712">
              <w:t xml:space="preserve">a </w:t>
            </w:r>
            <w:r w:rsidRPr="00834C52">
              <w:t>waste auditor</w:t>
            </w:r>
          </w:p>
        </w:tc>
        <w:tc>
          <w:tcPr>
            <w:tcW w:w="1317" w:type="dxa"/>
          </w:tcPr>
          <w:p w14:paraId="65676D7D" w14:textId="77777777" w:rsidR="00CF78F8" w:rsidRDefault="00CF78F8" w:rsidP="00F2626A">
            <w:pPr>
              <w:pStyle w:val="DHHSbody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8F8" w14:paraId="7876C028" w14:textId="77777777" w:rsidTr="0083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395E2CDD" w14:textId="77777777" w:rsidR="00CF78F8" w:rsidRPr="00834C52" w:rsidRDefault="00CF78F8" w:rsidP="00CF78F8">
            <w:pPr>
              <w:pStyle w:val="DHHStabletext"/>
            </w:pPr>
          </w:p>
        </w:tc>
        <w:tc>
          <w:tcPr>
            <w:tcW w:w="7459" w:type="dxa"/>
          </w:tcPr>
          <w:p w14:paraId="75BF37DD" w14:textId="1A7EF560" w:rsidR="00CF78F8" w:rsidRPr="00834C52" w:rsidRDefault="00CF78F8" w:rsidP="00CF78F8">
            <w:pPr>
              <w:pStyle w:val="DHHS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>Inform</w:t>
            </w:r>
            <w:r w:rsidR="00150712">
              <w:t>ed the</w:t>
            </w:r>
            <w:r w:rsidRPr="00834C52">
              <w:t xml:space="preserve"> auditor whether </w:t>
            </w:r>
            <w:r w:rsidR="00150712">
              <w:t xml:space="preserve">a </w:t>
            </w:r>
            <w:r w:rsidRPr="00834C52">
              <w:t>site analysis will be required</w:t>
            </w:r>
          </w:p>
        </w:tc>
        <w:tc>
          <w:tcPr>
            <w:tcW w:w="1317" w:type="dxa"/>
          </w:tcPr>
          <w:p w14:paraId="43CF081B" w14:textId="77777777" w:rsidR="00CF78F8" w:rsidRDefault="00CF78F8" w:rsidP="00F2626A">
            <w:pPr>
              <w:pStyle w:val="DHHSbody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F78F8" w14:paraId="77584B28" w14:textId="77777777" w:rsidTr="0083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323DCA18" w14:textId="77777777" w:rsidR="00CF78F8" w:rsidRPr="00834C52" w:rsidRDefault="00CF78F8" w:rsidP="00CF78F8">
            <w:pPr>
              <w:pStyle w:val="DHHStabletext"/>
            </w:pPr>
          </w:p>
        </w:tc>
        <w:tc>
          <w:tcPr>
            <w:tcW w:w="7459" w:type="dxa"/>
          </w:tcPr>
          <w:p w14:paraId="7EB6C240" w14:textId="70BB38CD" w:rsidR="00CF78F8" w:rsidRPr="00834C52" w:rsidRDefault="00CF78F8" w:rsidP="00274D38">
            <w:pPr>
              <w:pStyle w:val="DHHS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4C52">
              <w:t>Provide</w:t>
            </w:r>
            <w:r w:rsidR="00150712">
              <w:t>d the</w:t>
            </w:r>
            <w:r w:rsidRPr="00834C52">
              <w:t xml:space="preserve"> auditor with </w:t>
            </w:r>
            <w:r w:rsidR="00150712">
              <w:t>the w</w:t>
            </w:r>
            <w:r w:rsidRPr="00834C52">
              <w:t>aste audit guidelines</w:t>
            </w:r>
          </w:p>
        </w:tc>
        <w:tc>
          <w:tcPr>
            <w:tcW w:w="1317" w:type="dxa"/>
          </w:tcPr>
          <w:p w14:paraId="44471E0A" w14:textId="77777777" w:rsidR="00CF78F8" w:rsidRDefault="00CF78F8" w:rsidP="00F2626A">
            <w:pPr>
              <w:pStyle w:val="DHHSbody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8F8" w14:paraId="1BBEA057" w14:textId="77777777" w:rsidTr="0083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23A2722E" w14:textId="77777777" w:rsidR="00CF78F8" w:rsidRPr="00834C52" w:rsidRDefault="00CF78F8" w:rsidP="00CF78F8">
            <w:pPr>
              <w:pStyle w:val="DHHStabletext"/>
            </w:pPr>
          </w:p>
        </w:tc>
        <w:tc>
          <w:tcPr>
            <w:tcW w:w="7459" w:type="dxa"/>
          </w:tcPr>
          <w:p w14:paraId="11484275" w14:textId="76CCFB57" w:rsidR="00CF78F8" w:rsidRPr="00834C52" w:rsidRDefault="00CF78F8" w:rsidP="00FE3733">
            <w:pPr>
              <w:pStyle w:val="DHHS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>Identif</w:t>
            </w:r>
            <w:r w:rsidR="00150712">
              <w:t>ied the</w:t>
            </w:r>
            <w:r w:rsidRPr="00834C52">
              <w:t xml:space="preserve"> location of </w:t>
            </w:r>
            <w:r w:rsidR="00150712">
              <w:t xml:space="preserve">the </w:t>
            </w:r>
            <w:r w:rsidRPr="00834C52">
              <w:t xml:space="preserve">waste audit to take place and performed </w:t>
            </w:r>
            <w:r w:rsidR="00150712">
              <w:t xml:space="preserve">an </w:t>
            </w:r>
            <w:r w:rsidRPr="00834C52">
              <w:t>OH&amp;S assessment (if audit conducted on</w:t>
            </w:r>
            <w:r>
              <w:t xml:space="preserve"> </w:t>
            </w:r>
            <w:r w:rsidRPr="00834C52">
              <w:t>site)</w:t>
            </w:r>
          </w:p>
        </w:tc>
        <w:tc>
          <w:tcPr>
            <w:tcW w:w="1317" w:type="dxa"/>
          </w:tcPr>
          <w:p w14:paraId="1C2A3EF9" w14:textId="77777777" w:rsidR="00CF78F8" w:rsidRDefault="00CF78F8" w:rsidP="00F2626A">
            <w:pPr>
              <w:pStyle w:val="DHHSbody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F78F8" w14:paraId="7AC751E4" w14:textId="77777777" w:rsidTr="0083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54435165" w14:textId="77777777" w:rsidR="00CF78F8" w:rsidRPr="00834C52" w:rsidRDefault="00CF78F8" w:rsidP="00CF78F8">
            <w:pPr>
              <w:pStyle w:val="DHHStabletext"/>
            </w:pPr>
          </w:p>
        </w:tc>
        <w:tc>
          <w:tcPr>
            <w:tcW w:w="7459" w:type="dxa"/>
          </w:tcPr>
          <w:p w14:paraId="7B19E0D3" w14:textId="5AADD765" w:rsidR="00CF78F8" w:rsidRPr="00834C52" w:rsidRDefault="00CF78F8" w:rsidP="00CF78F8">
            <w:pPr>
              <w:pStyle w:val="DHHS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4C52">
              <w:t>Discuss</w:t>
            </w:r>
            <w:r w:rsidR="00150712">
              <w:t>ed</w:t>
            </w:r>
            <w:r w:rsidRPr="00834C52">
              <w:t xml:space="preserve"> provi</w:t>
            </w:r>
            <w:r w:rsidR="00150712">
              <w:t>ding</w:t>
            </w:r>
            <w:r w:rsidRPr="00834C52">
              <w:t xml:space="preserve"> </w:t>
            </w:r>
            <w:r w:rsidR="00FA5737">
              <w:t>patient activity</w:t>
            </w:r>
            <w:r w:rsidR="00FA5737" w:rsidRPr="00834C52">
              <w:t xml:space="preserve"> </w:t>
            </w:r>
            <w:r w:rsidRPr="00834C52">
              <w:t xml:space="preserve">data with </w:t>
            </w:r>
            <w:r w:rsidR="00150712">
              <w:t xml:space="preserve">the </w:t>
            </w:r>
            <w:r w:rsidRPr="00834C52">
              <w:t>relevant h</w:t>
            </w:r>
            <w:r w:rsidR="00D10D48">
              <w:t>ospital</w:t>
            </w:r>
            <w:r w:rsidRPr="00834C52">
              <w:t xml:space="preserve"> department</w:t>
            </w:r>
          </w:p>
        </w:tc>
        <w:tc>
          <w:tcPr>
            <w:tcW w:w="1317" w:type="dxa"/>
          </w:tcPr>
          <w:p w14:paraId="2AD2F9D6" w14:textId="77777777" w:rsidR="00CF78F8" w:rsidRDefault="00CF78F8" w:rsidP="00F2626A">
            <w:pPr>
              <w:pStyle w:val="DHHSbody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8F8" w14:paraId="78227DA6" w14:textId="77777777" w:rsidTr="0083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6A43AB12" w14:textId="77777777" w:rsidR="00CF78F8" w:rsidRPr="00834C52" w:rsidRDefault="00CF78F8" w:rsidP="00CF78F8">
            <w:pPr>
              <w:pStyle w:val="DHHStabletext"/>
            </w:pPr>
          </w:p>
        </w:tc>
        <w:tc>
          <w:tcPr>
            <w:tcW w:w="7459" w:type="dxa"/>
          </w:tcPr>
          <w:p w14:paraId="4B9D9F26" w14:textId="2E68BAB7" w:rsidR="00CF78F8" w:rsidRPr="00834C52" w:rsidRDefault="00CF78F8" w:rsidP="00CF78F8">
            <w:pPr>
              <w:pStyle w:val="DHHS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 xml:space="preserve">Met with </w:t>
            </w:r>
            <w:r w:rsidR="00150712">
              <w:t xml:space="preserve">the </w:t>
            </w:r>
            <w:r w:rsidRPr="00834C52">
              <w:t>auditor to discuss</w:t>
            </w:r>
            <w:r w:rsidR="00150712">
              <w:t>:</w:t>
            </w:r>
            <w:r w:rsidRPr="00834C52">
              <w:t xml:space="preserve"> </w:t>
            </w:r>
          </w:p>
          <w:p w14:paraId="78EF5070" w14:textId="77777777" w:rsidR="00CF78F8" w:rsidRPr="00834C52" w:rsidRDefault="00CF78F8" w:rsidP="00CF78F8">
            <w:pPr>
              <w:pStyle w:val="DHHStable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>audit process</w:t>
            </w:r>
          </w:p>
          <w:p w14:paraId="0FEDDE83" w14:textId="77777777" w:rsidR="00CF78F8" w:rsidRPr="00834C52" w:rsidRDefault="00CF78F8" w:rsidP="00CF78F8">
            <w:pPr>
              <w:pStyle w:val="DHHStable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>provision of audit equipment and site</w:t>
            </w:r>
          </w:p>
          <w:p w14:paraId="337E0AF4" w14:textId="77777777" w:rsidR="00CF78F8" w:rsidRPr="00834C52" w:rsidRDefault="00CF78F8" w:rsidP="00CF78F8">
            <w:pPr>
              <w:pStyle w:val="DHHStable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>timelines</w:t>
            </w:r>
          </w:p>
          <w:p w14:paraId="0576F16F" w14:textId="01228A1C" w:rsidR="00CF78F8" w:rsidRPr="00834C52" w:rsidRDefault="00CF78F8" w:rsidP="00CF78F8">
            <w:pPr>
              <w:pStyle w:val="DHHStable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 xml:space="preserve">provision of patient </w:t>
            </w:r>
            <w:r w:rsidR="0093694A">
              <w:t>activity</w:t>
            </w:r>
            <w:r w:rsidRPr="00834C52">
              <w:t xml:space="preserve"> data</w:t>
            </w:r>
          </w:p>
          <w:p w14:paraId="3F18EB0B" w14:textId="77777777" w:rsidR="00CF78F8" w:rsidRPr="00834C52" w:rsidRDefault="00CF78F8" w:rsidP="00CF78F8">
            <w:pPr>
              <w:pStyle w:val="DHHStable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>estimated weight/volume of waste that will be generated over audit period</w:t>
            </w:r>
          </w:p>
          <w:p w14:paraId="39FDD5EB" w14:textId="1B03C69C" w:rsidR="00CF78F8" w:rsidRPr="00834C52" w:rsidRDefault="00CF78F8" w:rsidP="00CF78F8">
            <w:pPr>
              <w:pStyle w:val="DHHStable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 xml:space="preserve">PPE and </w:t>
            </w:r>
            <w:r w:rsidR="00150712" w:rsidRPr="00834C52">
              <w:t xml:space="preserve">auditor </w:t>
            </w:r>
            <w:r w:rsidRPr="00834C52">
              <w:t>vaccinations</w:t>
            </w:r>
          </w:p>
          <w:p w14:paraId="5A0478CD" w14:textId="77777777" w:rsidR="00CF78F8" w:rsidRPr="00834C52" w:rsidRDefault="00CF78F8" w:rsidP="00CF78F8">
            <w:pPr>
              <w:pStyle w:val="DHHStablebullet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4C52">
              <w:t>any other issues/requirements</w:t>
            </w:r>
          </w:p>
        </w:tc>
        <w:tc>
          <w:tcPr>
            <w:tcW w:w="1317" w:type="dxa"/>
          </w:tcPr>
          <w:p w14:paraId="789B47E8" w14:textId="77777777" w:rsidR="00CF78F8" w:rsidRDefault="00CF78F8" w:rsidP="00F2626A">
            <w:pPr>
              <w:pStyle w:val="DHHSbody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F78F8" w14:paraId="1F7DA287" w14:textId="77777777" w:rsidTr="0083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14:paraId="3B6491D2" w14:textId="77777777" w:rsidR="00CF78F8" w:rsidRPr="00834C52" w:rsidRDefault="00CF78F8" w:rsidP="00CF78F8">
            <w:pPr>
              <w:pStyle w:val="DHHStabletext"/>
            </w:pPr>
          </w:p>
        </w:tc>
        <w:tc>
          <w:tcPr>
            <w:tcW w:w="7459" w:type="dxa"/>
          </w:tcPr>
          <w:p w14:paraId="5E3B3892" w14:textId="7AE70E6F" w:rsidR="00CF78F8" w:rsidRPr="00834C52" w:rsidRDefault="00CF78F8" w:rsidP="00CF78F8">
            <w:pPr>
              <w:pStyle w:val="DHHS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4C52">
              <w:t>Arrange</w:t>
            </w:r>
            <w:r w:rsidR="00150712">
              <w:t>d</w:t>
            </w:r>
            <w:r w:rsidRPr="00834C52">
              <w:t xml:space="preserve"> for </w:t>
            </w:r>
            <w:r w:rsidR="00150712">
              <w:t xml:space="preserve">the </w:t>
            </w:r>
            <w:r w:rsidRPr="00834C52">
              <w:t>waste stream from</w:t>
            </w:r>
            <w:r w:rsidR="00150712">
              <w:t xml:space="preserve"> the</w:t>
            </w:r>
            <w:r w:rsidRPr="00834C52">
              <w:t xml:space="preserve"> audited ward/departments(s) to be stockpiled and labelled in a secure location for 24-hour period</w:t>
            </w:r>
          </w:p>
        </w:tc>
        <w:tc>
          <w:tcPr>
            <w:tcW w:w="1317" w:type="dxa"/>
          </w:tcPr>
          <w:p w14:paraId="20F62F34" w14:textId="77777777" w:rsidR="00CF78F8" w:rsidRDefault="00CF78F8" w:rsidP="00F2626A">
            <w:pPr>
              <w:pStyle w:val="DHHSbody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8F8" w14:paraId="1247B887" w14:textId="77777777" w:rsidTr="00834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64C92F8F" w14:textId="0D21A845" w:rsidR="00CF78F8" w:rsidRPr="00834C52" w:rsidRDefault="00CF78F8" w:rsidP="00CF78F8">
            <w:pPr>
              <w:pStyle w:val="DHHStabletext"/>
              <w:rPr>
                <w:b w:val="0"/>
              </w:rPr>
            </w:pPr>
            <w:r w:rsidRPr="00834C52">
              <w:rPr>
                <w:b w:val="0"/>
              </w:rPr>
              <w:t xml:space="preserve">Following </w:t>
            </w:r>
            <w:r>
              <w:rPr>
                <w:b w:val="0"/>
              </w:rPr>
              <w:t>a</w:t>
            </w:r>
            <w:r w:rsidRPr="00834C52">
              <w:rPr>
                <w:b w:val="0"/>
              </w:rPr>
              <w:t>udit:</w:t>
            </w:r>
          </w:p>
        </w:tc>
        <w:tc>
          <w:tcPr>
            <w:tcW w:w="7459" w:type="dxa"/>
          </w:tcPr>
          <w:p w14:paraId="15327DB5" w14:textId="65C2EEAB" w:rsidR="00CF78F8" w:rsidRPr="00834C52" w:rsidRDefault="00170E8B" w:rsidP="00170E8B">
            <w:pPr>
              <w:pStyle w:val="DHHStablebullet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P</w:t>
            </w:r>
            <w:r w:rsidR="00CF78F8" w:rsidRPr="00834C52">
              <w:t xml:space="preserve">rovided patient </w:t>
            </w:r>
            <w:r w:rsidR="00BF600A">
              <w:t>activity</w:t>
            </w:r>
            <w:r w:rsidR="00CF78F8" w:rsidRPr="00834C52">
              <w:t xml:space="preserve"> data to</w:t>
            </w:r>
            <w:r w:rsidR="00150712">
              <w:t xml:space="preserve"> the</w:t>
            </w:r>
            <w:r w:rsidR="00CF78F8" w:rsidRPr="00834C52">
              <w:t xml:space="preserve"> auditor</w:t>
            </w:r>
            <w:r>
              <w:t xml:space="preserve"> </w:t>
            </w:r>
            <w:r w:rsidRPr="00834C52">
              <w:t>(If requested)</w:t>
            </w:r>
          </w:p>
        </w:tc>
        <w:tc>
          <w:tcPr>
            <w:tcW w:w="1317" w:type="dxa"/>
          </w:tcPr>
          <w:p w14:paraId="4D0D4CCA" w14:textId="77777777" w:rsidR="00CF78F8" w:rsidRDefault="00CF78F8" w:rsidP="00CF78F8">
            <w:pPr>
              <w:pStyle w:val="DHHSbody"/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17F9A2B" w14:textId="60991756" w:rsidR="009D22E1" w:rsidRDefault="009D22E1" w:rsidP="009D22E1">
      <w:pPr>
        <w:pStyle w:val="Heading3"/>
      </w:pPr>
      <w:r>
        <w:t xml:space="preserve">Has the </w:t>
      </w:r>
      <w:r w:rsidR="00633840">
        <w:t>a</w:t>
      </w:r>
      <w:r>
        <w:t>uditor…</w:t>
      </w:r>
    </w:p>
    <w:tbl>
      <w:tblPr>
        <w:tblStyle w:val="LightGrid-Accent4"/>
        <w:tblW w:w="10196" w:type="dxa"/>
        <w:tblLook w:val="04A0" w:firstRow="1" w:lastRow="0" w:firstColumn="1" w:lastColumn="0" w:noHBand="0" w:noVBand="1"/>
      </w:tblPr>
      <w:tblGrid>
        <w:gridCol w:w="8921"/>
        <w:gridCol w:w="1275"/>
      </w:tblGrid>
      <w:tr w:rsidR="009D22E1" w14:paraId="61F35D70" w14:textId="77777777" w:rsidTr="00C41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674A307F" w14:textId="77777777" w:rsidR="009D22E1" w:rsidRPr="00487626" w:rsidRDefault="009D22E1" w:rsidP="00480A35">
            <w:pPr>
              <w:pStyle w:val="DHHSbody"/>
            </w:pPr>
            <w:r w:rsidRPr="00487626">
              <w:t xml:space="preserve">Action </w:t>
            </w:r>
          </w:p>
        </w:tc>
        <w:tc>
          <w:tcPr>
            <w:tcW w:w="1275" w:type="dxa"/>
          </w:tcPr>
          <w:p w14:paraId="24335FEA" w14:textId="77777777" w:rsidR="009D22E1" w:rsidRPr="00487626" w:rsidRDefault="009D22E1" w:rsidP="00480A35">
            <w:pPr>
              <w:pStyle w:val="DHHS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7626">
              <w:t>Completed</w:t>
            </w:r>
          </w:p>
        </w:tc>
      </w:tr>
      <w:tr w:rsidR="009D22E1" w14:paraId="51524C6F" w14:textId="77777777" w:rsidTr="00C4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50546BD3" w14:textId="6C212604" w:rsidR="009D22E1" w:rsidRPr="00487626" w:rsidRDefault="009D22E1" w:rsidP="00480A35">
            <w:pPr>
              <w:pStyle w:val="DHHSbody"/>
              <w:rPr>
                <w:b w:val="0"/>
              </w:rPr>
            </w:pPr>
            <w:r w:rsidRPr="00487626">
              <w:rPr>
                <w:b w:val="0"/>
              </w:rPr>
              <w:t xml:space="preserve">Audited </w:t>
            </w:r>
            <w:r w:rsidRPr="00FE3733">
              <w:t>all</w:t>
            </w:r>
            <w:r w:rsidRPr="00487626">
              <w:rPr>
                <w:b w:val="0"/>
              </w:rPr>
              <w:t xml:space="preserve"> waste generated over the </w:t>
            </w:r>
            <w:r w:rsidR="00E6478A" w:rsidRPr="00487626">
              <w:rPr>
                <w:b w:val="0"/>
              </w:rPr>
              <w:t>24-hour</w:t>
            </w:r>
            <w:r w:rsidRPr="00487626">
              <w:rPr>
                <w:b w:val="0"/>
              </w:rPr>
              <w:t xml:space="preserve"> period</w:t>
            </w:r>
          </w:p>
        </w:tc>
        <w:tc>
          <w:tcPr>
            <w:tcW w:w="1275" w:type="dxa"/>
          </w:tcPr>
          <w:p w14:paraId="51B96B32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38D5B09D" w14:textId="77777777" w:rsidTr="00C4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5D4B0E0C" w14:textId="77777777" w:rsidR="009D22E1" w:rsidRPr="00487626" w:rsidRDefault="009D22E1" w:rsidP="00480A35">
            <w:pPr>
              <w:pStyle w:val="DHHSbody"/>
              <w:rPr>
                <w:b w:val="0"/>
              </w:rPr>
            </w:pPr>
            <w:r w:rsidRPr="00487626">
              <w:rPr>
                <w:b w:val="0"/>
              </w:rPr>
              <w:t>Produced a report containing:</w:t>
            </w:r>
          </w:p>
        </w:tc>
        <w:tc>
          <w:tcPr>
            <w:tcW w:w="1275" w:type="dxa"/>
          </w:tcPr>
          <w:p w14:paraId="2366C664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22E1" w14:paraId="4A3EE385" w14:textId="77777777" w:rsidTr="00C4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78E5390B" w14:textId="4EBC573F" w:rsidR="009D22E1" w:rsidRPr="00CF78F8" w:rsidRDefault="009D22E1" w:rsidP="00CF78F8">
            <w:pPr>
              <w:pStyle w:val="DHHStablebullet1"/>
              <w:rPr>
                <w:b w:val="0"/>
              </w:rPr>
            </w:pPr>
            <w:r w:rsidRPr="00CF78F8">
              <w:rPr>
                <w:b w:val="0"/>
              </w:rPr>
              <w:t>A list of all waste streams available on the audited ward</w:t>
            </w:r>
          </w:p>
        </w:tc>
        <w:tc>
          <w:tcPr>
            <w:tcW w:w="1275" w:type="dxa"/>
          </w:tcPr>
          <w:p w14:paraId="0CCA5C2D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1A453822" w14:textId="77777777" w:rsidTr="00C4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69AB2F7E" w14:textId="2A6BE607" w:rsidR="009D22E1" w:rsidRPr="00CF78F8" w:rsidRDefault="009D22E1" w:rsidP="00274D38">
            <w:pPr>
              <w:pStyle w:val="DHHStablebullet1"/>
              <w:rPr>
                <w:b w:val="0"/>
              </w:rPr>
            </w:pPr>
            <w:r w:rsidRPr="00CF78F8">
              <w:rPr>
                <w:b w:val="0"/>
              </w:rPr>
              <w:t xml:space="preserve">Itemised items in </w:t>
            </w:r>
            <w:r w:rsidR="00150712">
              <w:rPr>
                <w:b w:val="0"/>
              </w:rPr>
              <w:t xml:space="preserve">the </w:t>
            </w:r>
            <w:r w:rsidRPr="00CF78F8">
              <w:rPr>
                <w:b w:val="0"/>
              </w:rPr>
              <w:t>‘E-waste’ category (if any)</w:t>
            </w:r>
          </w:p>
        </w:tc>
        <w:tc>
          <w:tcPr>
            <w:tcW w:w="1275" w:type="dxa"/>
          </w:tcPr>
          <w:p w14:paraId="6749EE3B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22E1" w14:paraId="6CFA2DBD" w14:textId="77777777" w:rsidTr="00C4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6C873D00" w14:textId="0E05E57B" w:rsidR="009D22E1" w:rsidRPr="00CF78F8" w:rsidRDefault="00150712" w:rsidP="00274D38">
            <w:pPr>
              <w:pStyle w:val="DHHStablebullet1"/>
              <w:rPr>
                <w:b w:val="0"/>
              </w:rPr>
            </w:pPr>
            <w:r>
              <w:rPr>
                <w:b w:val="0"/>
              </w:rPr>
              <w:t>An i</w:t>
            </w:r>
            <w:r w:rsidR="009D22E1" w:rsidRPr="00CF78F8">
              <w:rPr>
                <w:b w:val="0"/>
              </w:rPr>
              <w:t>temised list and estimated value of items in</w:t>
            </w:r>
            <w:r>
              <w:rPr>
                <w:b w:val="0"/>
              </w:rPr>
              <w:t xml:space="preserve"> the</w:t>
            </w:r>
            <w:r w:rsidR="009D22E1" w:rsidRPr="00CF78F8">
              <w:rPr>
                <w:b w:val="0"/>
              </w:rPr>
              <w:t xml:space="preserve"> ‘Unused </w:t>
            </w:r>
            <w:r w:rsidR="00707562">
              <w:rPr>
                <w:b w:val="0"/>
              </w:rPr>
              <w:t>m</w:t>
            </w:r>
            <w:r w:rsidR="009D22E1" w:rsidRPr="00CF78F8">
              <w:rPr>
                <w:b w:val="0"/>
              </w:rPr>
              <w:t>aterials’ category (if any)</w:t>
            </w:r>
          </w:p>
        </w:tc>
        <w:tc>
          <w:tcPr>
            <w:tcW w:w="1275" w:type="dxa"/>
          </w:tcPr>
          <w:p w14:paraId="1B3C223D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4FB600FB" w14:textId="77777777" w:rsidTr="00C4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54B9929C" w14:textId="1341490C" w:rsidR="009D22E1" w:rsidRPr="00CF78F8" w:rsidRDefault="009D22E1" w:rsidP="00CF78F8">
            <w:pPr>
              <w:pStyle w:val="DHHStablebullet1"/>
              <w:rPr>
                <w:b w:val="0"/>
              </w:rPr>
            </w:pPr>
            <w:r w:rsidRPr="00CF78F8">
              <w:rPr>
                <w:b w:val="0"/>
              </w:rPr>
              <w:t>Identifi</w:t>
            </w:r>
            <w:r w:rsidR="00150712">
              <w:rPr>
                <w:b w:val="0"/>
              </w:rPr>
              <w:t>ed the</w:t>
            </w:r>
            <w:r w:rsidRPr="00CF78F8">
              <w:rPr>
                <w:b w:val="0"/>
              </w:rPr>
              <w:t xml:space="preserve"> main items in</w:t>
            </w:r>
            <w:r w:rsidR="00150712">
              <w:rPr>
                <w:b w:val="0"/>
              </w:rPr>
              <w:t xml:space="preserve"> the</w:t>
            </w:r>
            <w:r w:rsidRPr="00CF78F8">
              <w:rPr>
                <w:b w:val="0"/>
              </w:rPr>
              <w:t xml:space="preserve"> ‘Other’ category</w:t>
            </w:r>
          </w:p>
        </w:tc>
        <w:tc>
          <w:tcPr>
            <w:tcW w:w="1275" w:type="dxa"/>
          </w:tcPr>
          <w:p w14:paraId="6E3A5AB0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22E1" w14:paraId="2FDCCBA7" w14:textId="77777777" w:rsidTr="00C4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14507E85" w14:textId="4A9C0F06" w:rsidR="009D22E1" w:rsidRPr="00CF78F8" w:rsidRDefault="00150712" w:rsidP="00CF78F8">
            <w:pPr>
              <w:pStyle w:val="DHHStablebullet1"/>
              <w:rPr>
                <w:b w:val="0"/>
              </w:rPr>
            </w:pPr>
            <w:r>
              <w:rPr>
                <w:b w:val="0"/>
              </w:rPr>
              <w:t>The w</w:t>
            </w:r>
            <w:r w:rsidR="009D22E1" w:rsidRPr="00CF78F8">
              <w:rPr>
                <w:b w:val="0"/>
              </w:rPr>
              <w:t>eight and volume of each waste category</w:t>
            </w:r>
          </w:p>
        </w:tc>
        <w:tc>
          <w:tcPr>
            <w:tcW w:w="1275" w:type="dxa"/>
          </w:tcPr>
          <w:p w14:paraId="6F1265EB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22E1" w14:paraId="658F1A18" w14:textId="77777777" w:rsidTr="00C41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447D9312" w14:textId="044DE282" w:rsidR="009D22E1" w:rsidRPr="00CF78F8" w:rsidRDefault="00170E8B" w:rsidP="00CF78F8">
            <w:pPr>
              <w:pStyle w:val="DHHStablebullet1"/>
              <w:rPr>
                <w:b w:val="0"/>
              </w:rPr>
            </w:pPr>
            <w:r>
              <w:rPr>
                <w:b w:val="0"/>
              </w:rPr>
              <w:t>T</w:t>
            </w:r>
            <w:r w:rsidR="00707562">
              <w:rPr>
                <w:b w:val="0"/>
              </w:rPr>
              <w:t xml:space="preserve">he </w:t>
            </w:r>
            <w:r w:rsidR="00E90381" w:rsidRPr="00CF78F8">
              <w:rPr>
                <w:b w:val="0"/>
              </w:rPr>
              <w:t>w</w:t>
            </w:r>
            <w:r w:rsidR="009D22E1" w:rsidRPr="00CF78F8">
              <w:rPr>
                <w:b w:val="0"/>
              </w:rPr>
              <w:t xml:space="preserve">eight and volume per </w:t>
            </w:r>
            <w:r w:rsidR="00E90381" w:rsidRPr="00CF78F8">
              <w:rPr>
                <w:b w:val="0"/>
              </w:rPr>
              <w:t xml:space="preserve">patient treated </w:t>
            </w:r>
            <w:r>
              <w:rPr>
                <w:b w:val="0"/>
              </w:rPr>
              <w:t>(i</w:t>
            </w:r>
            <w:r w:rsidRPr="00CF78F8">
              <w:rPr>
                <w:b w:val="0"/>
              </w:rPr>
              <w:t>f requested)</w:t>
            </w:r>
          </w:p>
        </w:tc>
        <w:tc>
          <w:tcPr>
            <w:tcW w:w="1275" w:type="dxa"/>
          </w:tcPr>
          <w:p w14:paraId="207FE55E" w14:textId="77777777" w:rsidR="009D22E1" w:rsidRDefault="009D22E1" w:rsidP="00480A35">
            <w:pPr>
              <w:pStyle w:val="DH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D22E1" w14:paraId="00D8B5E4" w14:textId="77777777" w:rsidTr="00C41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1" w:type="dxa"/>
          </w:tcPr>
          <w:p w14:paraId="3DE8E77B" w14:textId="5FF945D3" w:rsidR="009D22E1" w:rsidRPr="00CF78F8" w:rsidRDefault="00707562" w:rsidP="00274D38">
            <w:pPr>
              <w:pStyle w:val="DHHStablebullet1"/>
              <w:rPr>
                <w:b w:val="0"/>
              </w:rPr>
            </w:pPr>
            <w:r>
              <w:rPr>
                <w:b w:val="0"/>
              </w:rPr>
              <w:t>A s</w:t>
            </w:r>
            <w:r w:rsidR="009D22E1" w:rsidRPr="00CF78F8">
              <w:rPr>
                <w:b w:val="0"/>
              </w:rPr>
              <w:t>ite analysis</w:t>
            </w:r>
            <w:r w:rsidR="00CF48FF" w:rsidRPr="00CF78F8">
              <w:rPr>
                <w:b w:val="0"/>
              </w:rPr>
              <w:t xml:space="preserve"> (if requested)</w:t>
            </w:r>
          </w:p>
        </w:tc>
        <w:tc>
          <w:tcPr>
            <w:tcW w:w="1275" w:type="dxa"/>
          </w:tcPr>
          <w:p w14:paraId="2B052E94" w14:textId="77777777" w:rsidR="009D22E1" w:rsidRDefault="009D22E1" w:rsidP="00480A35">
            <w:pPr>
              <w:pStyle w:val="DH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C6A24E" w14:textId="77777777" w:rsidR="009D22E1" w:rsidRDefault="009D22E1" w:rsidP="00E73984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1758C8" w:rsidRPr="002802E3" w14:paraId="60824BC4" w14:textId="77777777" w:rsidTr="00E7398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6CE3E" w14:textId="4F51374D" w:rsidR="001758C8" w:rsidRPr="00254F58" w:rsidRDefault="001758C8" w:rsidP="008E5EC3">
            <w:pPr>
              <w:pStyle w:val="DHHSaccessibilitypara"/>
            </w:pPr>
            <w:r w:rsidRPr="00254F58">
              <w:lastRenderedPageBreak/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email </w:t>
            </w:r>
            <w:hyperlink r:id="rId16" w:history="1">
              <w:r w:rsidR="00A07597" w:rsidRPr="005D6BC0">
                <w:rPr>
                  <w:rStyle w:val="Hyperlink"/>
                </w:rPr>
                <w:t>sustainability@dhhs.vic.gov.au</w:t>
              </w:r>
            </w:hyperlink>
            <w:r w:rsidR="00A07597">
              <w:rPr>
                <w:color w:val="008950"/>
              </w:rPr>
              <w:t xml:space="preserve"> </w:t>
            </w:r>
          </w:p>
          <w:p w14:paraId="65730C61" w14:textId="77777777" w:rsidR="001758C8" w:rsidRPr="00254F58" w:rsidRDefault="001758C8" w:rsidP="008E5EC3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9AEE452" w14:textId="1BD7BF89" w:rsidR="001758C8" w:rsidRPr="00254F58" w:rsidRDefault="001758C8" w:rsidP="008E5EC3">
            <w:pPr>
              <w:pStyle w:val="DHHSbody"/>
            </w:pPr>
            <w:r w:rsidRPr="00254F58">
              <w:t xml:space="preserve">© State of </w:t>
            </w:r>
            <w:r>
              <w:t xml:space="preserve">Victoria, </w:t>
            </w:r>
            <w:r w:rsidR="00150712">
              <w:t>Victorian</w:t>
            </w:r>
            <w:r>
              <w:t xml:space="preserve"> Health and</w:t>
            </w:r>
            <w:r w:rsidRPr="00254F58">
              <w:t xml:space="preserve"> Human Services</w:t>
            </w:r>
            <w:r w:rsidR="00150712">
              <w:t xml:space="preserve"> Building Authority</w:t>
            </w:r>
            <w:r>
              <w:t>, January 2019.</w:t>
            </w:r>
          </w:p>
          <w:p w14:paraId="1579D3AA" w14:textId="48B2B910" w:rsidR="001758C8" w:rsidRPr="00254F58" w:rsidRDefault="001758C8" w:rsidP="008E5EC3">
            <w:pPr>
              <w:pStyle w:val="DHHSbody"/>
            </w:pPr>
            <w:r w:rsidRPr="00254F58">
              <w:t>ISBN/ISSN</w:t>
            </w:r>
            <w:r w:rsidR="00A07597">
              <w:rPr>
                <w:color w:val="008950"/>
              </w:rPr>
              <w:t xml:space="preserve"> </w:t>
            </w:r>
            <w:r w:rsidR="00A07597">
              <w:rPr>
                <w:rFonts w:cs="Arial"/>
                <w:color w:val="000000"/>
                <w:sz w:val="22"/>
                <w:szCs w:val="22"/>
                <w:lang w:eastAsia="en-AU"/>
              </w:rPr>
              <w:t>978-1-76069-767-9</w:t>
            </w:r>
          </w:p>
          <w:p w14:paraId="7DB9EB3C" w14:textId="77777777" w:rsidR="001758C8" w:rsidRPr="00D501DB" w:rsidRDefault="001758C8" w:rsidP="008E5EC3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at </w:t>
            </w:r>
            <w:r w:rsidRPr="00F61A9F">
              <w:rPr>
                <w:color w:val="008950"/>
              </w:rPr>
              <w:t>&lt;web page address&gt;</w:t>
            </w:r>
          </w:p>
        </w:tc>
      </w:tr>
    </w:tbl>
    <w:p w14:paraId="2A984EE5" w14:textId="77777777" w:rsidR="00493B5C" w:rsidRDefault="00493B5C" w:rsidP="00E73984">
      <w:pPr>
        <w:pStyle w:val="DHHSbody"/>
      </w:pPr>
    </w:p>
    <w:sectPr w:rsidR="00493B5C" w:rsidSect="00E6478A">
      <w:type w:val="continuous"/>
      <w:pgSz w:w="11906" w:h="16838" w:code="9"/>
      <w:pgMar w:top="1276" w:right="851" w:bottom="851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4AB7" w14:textId="77777777" w:rsidR="005448A0" w:rsidRDefault="005448A0">
      <w:r>
        <w:separator/>
      </w:r>
    </w:p>
  </w:endnote>
  <w:endnote w:type="continuationSeparator" w:id="0">
    <w:p w14:paraId="40AE50C4" w14:textId="77777777" w:rsidR="005448A0" w:rsidRDefault="005448A0">
      <w:r>
        <w:continuationSeparator/>
      </w:r>
    </w:p>
  </w:endnote>
  <w:endnote w:type="continuationNotice" w:id="1">
    <w:p w14:paraId="4184E904" w14:textId="77777777" w:rsidR="005448A0" w:rsidRDefault="00544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760A" w14:textId="77777777" w:rsidR="00400087" w:rsidRDefault="00400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8C8C" w14:textId="56123E7D" w:rsidR="005448A0" w:rsidRPr="00A11421" w:rsidRDefault="005448A0" w:rsidP="0051568D">
    <w:pPr>
      <w:pStyle w:val="DHHSfooter"/>
    </w:pPr>
    <w:r>
      <w:t>Waste audit guidelines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6</w:t>
    </w:r>
    <w:r w:rsidRPr="00A1142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1DD9" w14:textId="77777777" w:rsidR="00400087" w:rsidRDefault="00400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23AD9" w14:textId="77777777" w:rsidR="005448A0" w:rsidRDefault="005448A0" w:rsidP="002862F1">
      <w:pPr>
        <w:spacing w:before="120"/>
      </w:pPr>
      <w:r>
        <w:separator/>
      </w:r>
    </w:p>
  </w:footnote>
  <w:footnote w:type="continuationSeparator" w:id="0">
    <w:p w14:paraId="1D2A21E1" w14:textId="77777777" w:rsidR="005448A0" w:rsidRDefault="005448A0">
      <w:r>
        <w:continuationSeparator/>
      </w:r>
    </w:p>
  </w:footnote>
  <w:footnote w:type="continuationNotice" w:id="1">
    <w:p w14:paraId="0827B878" w14:textId="77777777" w:rsidR="005448A0" w:rsidRDefault="005448A0"/>
  </w:footnote>
  <w:footnote w:id="2">
    <w:p w14:paraId="5AEBE604" w14:textId="66E3F3CA" w:rsidR="005448A0" w:rsidRDefault="005448A0">
      <w:pPr>
        <w:pStyle w:val="FootnoteText"/>
      </w:pPr>
      <w:r>
        <w:rPr>
          <w:rStyle w:val="FootnoteReference"/>
        </w:rPr>
        <w:footnoteRef/>
      </w:r>
      <w:r>
        <w:t xml:space="preserve"> Waste is normalised to ‘per patient treated’, which is an aggregation of in-patient (occupied) bed-days, residential aged care bed-days, separations and emergency department presentations.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7E03" w14:textId="77777777" w:rsidR="00400087" w:rsidRDefault="00400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E321" w14:textId="7F010B7C" w:rsidR="005448A0" w:rsidRPr="0051568D" w:rsidRDefault="005448A0" w:rsidP="0051568D">
    <w:pPr>
      <w:pStyle w:val="DHHS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014F" w14:textId="77777777" w:rsidR="00400087" w:rsidRDefault="00400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9F5A8F"/>
    <w:multiLevelType w:val="hybridMultilevel"/>
    <w:tmpl w:val="93D018EE"/>
    <w:lvl w:ilvl="0" w:tplc="D632DAEE">
      <w:start w:val="4"/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5B74558"/>
    <w:multiLevelType w:val="multilevel"/>
    <w:tmpl w:val="FAEA950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DD47896"/>
    <w:multiLevelType w:val="hybridMultilevel"/>
    <w:tmpl w:val="2CB2F7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AE464B44"/>
    <w:styleLink w:val="ZZBullets"/>
    <w:lvl w:ilvl="0">
      <w:start w:val="1"/>
      <w:numFmt w:val="bullet"/>
      <w:pStyle w:val="DHHSbullet1"/>
      <w:lvlText w:val="•"/>
      <w:lvlJc w:val="left"/>
      <w:pPr>
        <w:ind w:left="3687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87"/>
    <w:rsid w:val="0000682E"/>
    <w:rsid w:val="000072B6"/>
    <w:rsid w:val="0001021B"/>
    <w:rsid w:val="00011D89"/>
    <w:rsid w:val="000154FD"/>
    <w:rsid w:val="00024D89"/>
    <w:rsid w:val="000250B6"/>
    <w:rsid w:val="00033D81"/>
    <w:rsid w:val="00041A51"/>
    <w:rsid w:val="00041BF0"/>
    <w:rsid w:val="0004536B"/>
    <w:rsid w:val="00046B68"/>
    <w:rsid w:val="000527DD"/>
    <w:rsid w:val="000578B2"/>
    <w:rsid w:val="00060959"/>
    <w:rsid w:val="000663CD"/>
    <w:rsid w:val="000717AA"/>
    <w:rsid w:val="000733FE"/>
    <w:rsid w:val="00074219"/>
    <w:rsid w:val="00074ED5"/>
    <w:rsid w:val="0008508E"/>
    <w:rsid w:val="00085776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778A"/>
    <w:rsid w:val="000F1F1E"/>
    <w:rsid w:val="000F2259"/>
    <w:rsid w:val="000F7246"/>
    <w:rsid w:val="0010246E"/>
    <w:rsid w:val="0010392D"/>
    <w:rsid w:val="0010447F"/>
    <w:rsid w:val="00104FE3"/>
    <w:rsid w:val="001120B0"/>
    <w:rsid w:val="001147D6"/>
    <w:rsid w:val="00120BD3"/>
    <w:rsid w:val="00122FEA"/>
    <w:rsid w:val="001232BD"/>
    <w:rsid w:val="00124ED5"/>
    <w:rsid w:val="001276FA"/>
    <w:rsid w:val="001447B3"/>
    <w:rsid w:val="00150712"/>
    <w:rsid w:val="00152073"/>
    <w:rsid w:val="00156598"/>
    <w:rsid w:val="0016138C"/>
    <w:rsid w:val="00161939"/>
    <w:rsid w:val="00161AA0"/>
    <w:rsid w:val="00162093"/>
    <w:rsid w:val="00162326"/>
    <w:rsid w:val="00170E8B"/>
    <w:rsid w:val="00172BAF"/>
    <w:rsid w:val="00173EC4"/>
    <w:rsid w:val="001758C8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29B8"/>
    <w:rsid w:val="001A3ACE"/>
    <w:rsid w:val="001B6904"/>
    <w:rsid w:val="001C277E"/>
    <w:rsid w:val="001C2A72"/>
    <w:rsid w:val="001D0B75"/>
    <w:rsid w:val="001D1931"/>
    <w:rsid w:val="001D3C09"/>
    <w:rsid w:val="001D44E8"/>
    <w:rsid w:val="001D544A"/>
    <w:rsid w:val="001D60EC"/>
    <w:rsid w:val="001E44DF"/>
    <w:rsid w:val="001E68A5"/>
    <w:rsid w:val="001E6BB0"/>
    <w:rsid w:val="001F3826"/>
    <w:rsid w:val="001F6E46"/>
    <w:rsid w:val="001F7C91"/>
    <w:rsid w:val="001F7D98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981"/>
    <w:rsid w:val="00246C5E"/>
    <w:rsid w:val="00247A2F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4D38"/>
    <w:rsid w:val="002763B3"/>
    <w:rsid w:val="002802E3"/>
    <w:rsid w:val="0028213D"/>
    <w:rsid w:val="002862F1"/>
    <w:rsid w:val="00291373"/>
    <w:rsid w:val="002945A6"/>
    <w:rsid w:val="0029597D"/>
    <w:rsid w:val="002962C3"/>
    <w:rsid w:val="0029752B"/>
    <w:rsid w:val="002A483C"/>
    <w:rsid w:val="002B0C7C"/>
    <w:rsid w:val="002B1729"/>
    <w:rsid w:val="002B36C7"/>
    <w:rsid w:val="002B3D7C"/>
    <w:rsid w:val="002B4DD4"/>
    <w:rsid w:val="002B5277"/>
    <w:rsid w:val="002B5375"/>
    <w:rsid w:val="002B77C1"/>
    <w:rsid w:val="002C039B"/>
    <w:rsid w:val="002C2728"/>
    <w:rsid w:val="002C4079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627"/>
    <w:rsid w:val="00307E14"/>
    <w:rsid w:val="00314054"/>
    <w:rsid w:val="00316F27"/>
    <w:rsid w:val="00322E4B"/>
    <w:rsid w:val="00327870"/>
    <w:rsid w:val="0033259D"/>
    <w:rsid w:val="003333D2"/>
    <w:rsid w:val="00334ED0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518B"/>
    <w:rsid w:val="00392790"/>
    <w:rsid w:val="003956CC"/>
    <w:rsid w:val="00395C9A"/>
    <w:rsid w:val="003A0A23"/>
    <w:rsid w:val="003A0BA6"/>
    <w:rsid w:val="003A11FA"/>
    <w:rsid w:val="003A651F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E48AC"/>
    <w:rsid w:val="003F0445"/>
    <w:rsid w:val="003F0CF0"/>
    <w:rsid w:val="003F14B1"/>
    <w:rsid w:val="003F3289"/>
    <w:rsid w:val="00400087"/>
    <w:rsid w:val="00400965"/>
    <w:rsid w:val="004013C7"/>
    <w:rsid w:val="00401FCF"/>
    <w:rsid w:val="00406285"/>
    <w:rsid w:val="004148F9"/>
    <w:rsid w:val="00416948"/>
    <w:rsid w:val="0042084E"/>
    <w:rsid w:val="00421EEF"/>
    <w:rsid w:val="00424D65"/>
    <w:rsid w:val="00436E1C"/>
    <w:rsid w:val="00442C6C"/>
    <w:rsid w:val="00443CBE"/>
    <w:rsid w:val="00443E8A"/>
    <w:rsid w:val="004441BC"/>
    <w:rsid w:val="004468B4"/>
    <w:rsid w:val="0045230A"/>
    <w:rsid w:val="00457337"/>
    <w:rsid w:val="004618CB"/>
    <w:rsid w:val="00461EBE"/>
    <w:rsid w:val="0047372D"/>
    <w:rsid w:val="00473BA3"/>
    <w:rsid w:val="004743DD"/>
    <w:rsid w:val="00474CEA"/>
    <w:rsid w:val="00480A35"/>
    <w:rsid w:val="00483968"/>
    <w:rsid w:val="00484F86"/>
    <w:rsid w:val="00487626"/>
    <w:rsid w:val="00490746"/>
    <w:rsid w:val="00490852"/>
    <w:rsid w:val="00492F30"/>
    <w:rsid w:val="00493B5C"/>
    <w:rsid w:val="004946F4"/>
    <w:rsid w:val="0049487E"/>
    <w:rsid w:val="004A160D"/>
    <w:rsid w:val="004A3E81"/>
    <w:rsid w:val="004A5C62"/>
    <w:rsid w:val="004A707D"/>
    <w:rsid w:val="004B6F52"/>
    <w:rsid w:val="004C1AF7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0529"/>
    <w:rsid w:val="004F2133"/>
    <w:rsid w:val="004F55F1"/>
    <w:rsid w:val="004F6936"/>
    <w:rsid w:val="00503DC6"/>
    <w:rsid w:val="00506F5D"/>
    <w:rsid w:val="005126D0"/>
    <w:rsid w:val="0051568D"/>
    <w:rsid w:val="00526C15"/>
    <w:rsid w:val="00530D26"/>
    <w:rsid w:val="00536499"/>
    <w:rsid w:val="00543903"/>
    <w:rsid w:val="00543F11"/>
    <w:rsid w:val="005448A0"/>
    <w:rsid w:val="00547A95"/>
    <w:rsid w:val="00551FEE"/>
    <w:rsid w:val="00572031"/>
    <w:rsid w:val="00572282"/>
    <w:rsid w:val="00572EEA"/>
    <w:rsid w:val="00576E84"/>
    <w:rsid w:val="00582B8C"/>
    <w:rsid w:val="0058308A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D7CAE"/>
    <w:rsid w:val="005E14E7"/>
    <w:rsid w:val="005E26A3"/>
    <w:rsid w:val="005E4390"/>
    <w:rsid w:val="005E447E"/>
    <w:rsid w:val="005E6C1B"/>
    <w:rsid w:val="005F0775"/>
    <w:rsid w:val="005F0CF5"/>
    <w:rsid w:val="005F21EB"/>
    <w:rsid w:val="006052CA"/>
    <w:rsid w:val="00605908"/>
    <w:rsid w:val="00610D7C"/>
    <w:rsid w:val="00613414"/>
    <w:rsid w:val="00620154"/>
    <w:rsid w:val="00621D39"/>
    <w:rsid w:val="0062408D"/>
    <w:rsid w:val="006240CC"/>
    <w:rsid w:val="006254F8"/>
    <w:rsid w:val="00626DF9"/>
    <w:rsid w:val="00627DA7"/>
    <w:rsid w:val="00633840"/>
    <w:rsid w:val="006358B4"/>
    <w:rsid w:val="00635B60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96D6D"/>
    <w:rsid w:val="006A18C2"/>
    <w:rsid w:val="006B077C"/>
    <w:rsid w:val="006B2962"/>
    <w:rsid w:val="006B3510"/>
    <w:rsid w:val="006B6803"/>
    <w:rsid w:val="006C4E56"/>
    <w:rsid w:val="006C53F0"/>
    <w:rsid w:val="006D0F16"/>
    <w:rsid w:val="006D17F3"/>
    <w:rsid w:val="006D27AA"/>
    <w:rsid w:val="006D2A3F"/>
    <w:rsid w:val="006D2FBC"/>
    <w:rsid w:val="006E138B"/>
    <w:rsid w:val="006F1FDC"/>
    <w:rsid w:val="006F6B8C"/>
    <w:rsid w:val="007013EF"/>
    <w:rsid w:val="00704D14"/>
    <w:rsid w:val="00707562"/>
    <w:rsid w:val="007173CA"/>
    <w:rsid w:val="007216AA"/>
    <w:rsid w:val="00721AB5"/>
    <w:rsid w:val="00721CFB"/>
    <w:rsid w:val="00721DEF"/>
    <w:rsid w:val="00722D5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5FA8"/>
    <w:rsid w:val="00770F37"/>
    <w:rsid w:val="007711A0"/>
    <w:rsid w:val="00772D5E"/>
    <w:rsid w:val="00773455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4D7C"/>
    <w:rsid w:val="007B589F"/>
    <w:rsid w:val="007B6186"/>
    <w:rsid w:val="007B73BC"/>
    <w:rsid w:val="007C20B9"/>
    <w:rsid w:val="007C7301"/>
    <w:rsid w:val="007C7859"/>
    <w:rsid w:val="007D2BDE"/>
    <w:rsid w:val="007D2FB6"/>
    <w:rsid w:val="007D3083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261"/>
    <w:rsid w:val="008155F0"/>
    <w:rsid w:val="00816735"/>
    <w:rsid w:val="00820141"/>
    <w:rsid w:val="00820E0C"/>
    <w:rsid w:val="0082366F"/>
    <w:rsid w:val="008338A2"/>
    <w:rsid w:val="00834C52"/>
    <w:rsid w:val="008411DA"/>
    <w:rsid w:val="00841AA9"/>
    <w:rsid w:val="008470CF"/>
    <w:rsid w:val="00853D0A"/>
    <w:rsid w:val="00853EE4"/>
    <w:rsid w:val="00854611"/>
    <w:rsid w:val="00855535"/>
    <w:rsid w:val="00857C5A"/>
    <w:rsid w:val="0086255E"/>
    <w:rsid w:val="00862E27"/>
    <w:rsid w:val="008633F0"/>
    <w:rsid w:val="00863CB5"/>
    <w:rsid w:val="00867D9D"/>
    <w:rsid w:val="00872E0A"/>
    <w:rsid w:val="0087452F"/>
    <w:rsid w:val="00875285"/>
    <w:rsid w:val="00877500"/>
    <w:rsid w:val="008838BF"/>
    <w:rsid w:val="00884B62"/>
    <w:rsid w:val="0088529C"/>
    <w:rsid w:val="00887903"/>
    <w:rsid w:val="0089270A"/>
    <w:rsid w:val="00893AF6"/>
    <w:rsid w:val="00894542"/>
    <w:rsid w:val="00894BC4"/>
    <w:rsid w:val="008A569F"/>
    <w:rsid w:val="008A5B32"/>
    <w:rsid w:val="008B2EE4"/>
    <w:rsid w:val="008B4D3D"/>
    <w:rsid w:val="008B5217"/>
    <w:rsid w:val="008B57C7"/>
    <w:rsid w:val="008C2F92"/>
    <w:rsid w:val="008C38EF"/>
    <w:rsid w:val="008D2846"/>
    <w:rsid w:val="008D4236"/>
    <w:rsid w:val="008D462F"/>
    <w:rsid w:val="008D6DCF"/>
    <w:rsid w:val="008E4376"/>
    <w:rsid w:val="008E5EC3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0A93"/>
    <w:rsid w:val="00923AC6"/>
    <w:rsid w:val="00924AE1"/>
    <w:rsid w:val="009269B1"/>
    <w:rsid w:val="0092724D"/>
    <w:rsid w:val="0093338F"/>
    <w:rsid w:val="0093694A"/>
    <w:rsid w:val="00937BD9"/>
    <w:rsid w:val="00937FD8"/>
    <w:rsid w:val="00944582"/>
    <w:rsid w:val="00947730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22E1"/>
    <w:rsid w:val="009D4974"/>
    <w:rsid w:val="009D51D0"/>
    <w:rsid w:val="009D70A4"/>
    <w:rsid w:val="009E08D1"/>
    <w:rsid w:val="009E1B95"/>
    <w:rsid w:val="009E496F"/>
    <w:rsid w:val="009E4B0D"/>
    <w:rsid w:val="009E7F92"/>
    <w:rsid w:val="009F02A3"/>
    <w:rsid w:val="009F0EC0"/>
    <w:rsid w:val="009F2F27"/>
    <w:rsid w:val="009F34AA"/>
    <w:rsid w:val="009F3B0D"/>
    <w:rsid w:val="009F6BCB"/>
    <w:rsid w:val="009F72C5"/>
    <w:rsid w:val="009F7B78"/>
    <w:rsid w:val="00A0057A"/>
    <w:rsid w:val="00A07597"/>
    <w:rsid w:val="00A0776B"/>
    <w:rsid w:val="00A11421"/>
    <w:rsid w:val="00A157B1"/>
    <w:rsid w:val="00A2128A"/>
    <w:rsid w:val="00A22229"/>
    <w:rsid w:val="00A330BB"/>
    <w:rsid w:val="00A44882"/>
    <w:rsid w:val="00A54715"/>
    <w:rsid w:val="00A576A4"/>
    <w:rsid w:val="00A6061C"/>
    <w:rsid w:val="00A62D44"/>
    <w:rsid w:val="00A67263"/>
    <w:rsid w:val="00A7161C"/>
    <w:rsid w:val="00A77AA3"/>
    <w:rsid w:val="00A854EB"/>
    <w:rsid w:val="00A872E5"/>
    <w:rsid w:val="00A91406"/>
    <w:rsid w:val="00A91C7F"/>
    <w:rsid w:val="00A96E65"/>
    <w:rsid w:val="00A97C72"/>
    <w:rsid w:val="00AA63D4"/>
    <w:rsid w:val="00AB06E8"/>
    <w:rsid w:val="00AB1CD3"/>
    <w:rsid w:val="00AB28E7"/>
    <w:rsid w:val="00AB352F"/>
    <w:rsid w:val="00AC274B"/>
    <w:rsid w:val="00AC2EA5"/>
    <w:rsid w:val="00AC4764"/>
    <w:rsid w:val="00AC6D36"/>
    <w:rsid w:val="00AD0CBA"/>
    <w:rsid w:val="00AD26E2"/>
    <w:rsid w:val="00AD27C0"/>
    <w:rsid w:val="00AD784C"/>
    <w:rsid w:val="00AE126A"/>
    <w:rsid w:val="00AE3005"/>
    <w:rsid w:val="00AE3BD5"/>
    <w:rsid w:val="00AE59A0"/>
    <w:rsid w:val="00AF0C57"/>
    <w:rsid w:val="00AF26F3"/>
    <w:rsid w:val="00AF5F04"/>
    <w:rsid w:val="00AF604D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804"/>
    <w:rsid w:val="00B66D83"/>
    <w:rsid w:val="00B672C0"/>
    <w:rsid w:val="00B73946"/>
    <w:rsid w:val="00B75646"/>
    <w:rsid w:val="00B9057E"/>
    <w:rsid w:val="00B90729"/>
    <w:rsid w:val="00B907DA"/>
    <w:rsid w:val="00B950BC"/>
    <w:rsid w:val="00B96C0E"/>
    <w:rsid w:val="00B9714C"/>
    <w:rsid w:val="00BA29AD"/>
    <w:rsid w:val="00BA3F8D"/>
    <w:rsid w:val="00BB7A10"/>
    <w:rsid w:val="00BC7468"/>
    <w:rsid w:val="00BC7D4F"/>
    <w:rsid w:val="00BC7ED7"/>
    <w:rsid w:val="00BD09A3"/>
    <w:rsid w:val="00BD2850"/>
    <w:rsid w:val="00BE28D2"/>
    <w:rsid w:val="00BE4A64"/>
    <w:rsid w:val="00BF557D"/>
    <w:rsid w:val="00BF600A"/>
    <w:rsid w:val="00BF7F58"/>
    <w:rsid w:val="00C01381"/>
    <w:rsid w:val="00C01AB1"/>
    <w:rsid w:val="00C01C54"/>
    <w:rsid w:val="00C079B8"/>
    <w:rsid w:val="00C10037"/>
    <w:rsid w:val="00C123EA"/>
    <w:rsid w:val="00C12A49"/>
    <w:rsid w:val="00C133EE"/>
    <w:rsid w:val="00C149D0"/>
    <w:rsid w:val="00C25971"/>
    <w:rsid w:val="00C26588"/>
    <w:rsid w:val="00C27DE9"/>
    <w:rsid w:val="00C33388"/>
    <w:rsid w:val="00C35484"/>
    <w:rsid w:val="00C4173A"/>
    <w:rsid w:val="00C41ED3"/>
    <w:rsid w:val="00C602FF"/>
    <w:rsid w:val="00C61174"/>
    <w:rsid w:val="00C6148F"/>
    <w:rsid w:val="00C618D1"/>
    <w:rsid w:val="00C6203C"/>
    <w:rsid w:val="00C62F7A"/>
    <w:rsid w:val="00C63B9C"/>
    <w:rsid w:val="00C6682F"/>
    <w:rsid w:val="00C710B4"/>
    <w:rsid w:val="00C7275E"/>
    <w:rsid w:val="00C74C5D"/>
    <w:rsid w:val="00C75963"/>
    <w:rsid w:val="00C775AA"/>
    <w:rsid w:val="00C863C4"/>
    <w:rsid w:val="00C920EA"/>
    <w:rsid w:val="00C93C3E"/>
    <w:rsid w:val="00CA12E3"/>
    <w:rsid w:val="00CA4947"/>
    <w:rsid w:val="00CA6611"/>
    <w:rsid w:val="00CA6AE6"/>
    <w:rsid w:val="00CA6EA7"/>
    <w:rsid w:val="00CA782F"/>
    <w:rsid w:val="00CB3285"/>
    <w:rsid w:val="00CC0C72"/>
    <w:rsid w:val="00CC2BFD"/>
    <w:rsid w:val="00CD3476"/>
    <w:rsid w:val="00CD64DF"/>
    <w:rsid w:val="00CE61A2"/>
    <w:rsid w:val="00CF2F50"/>
    <w:rsid w:val="00CF48FF"/>
    <w:rsid w:val="00CF6198"/>
    <w:rsid w:val="00CF78F8"/>
    <w:rsid w:val="00D02919"/>
    <w:rsid w:val="00D04C61"/>
    <w:rsid w:val="00D05B8D"/>
    <w:rsid w:val="00D065A2"/>
    <w:rsid w:val="00D07F00"/>
    <w:rsid w:val="00D10D48"/>
    <w:rsid w:val="00D17B72"/>
    <w:rsid w:val="00D3185C"/>
    <w:rsid w:val="00D3318E"/>
    <w:rsid w:val="00D33E72"/>
    <w:rsid w:val="00D35BD6"/>
    <w:rsid w:val="00D361B5"/>
    <w:rsid w:val="00D411A2"/>
    <w:rsid w:val="00D43F9A"/>
    <w:rsid w:val="00D4606D"/>
    <w:rsid w:val="00D501DB"/>
    <w:rsid w:val="00D50B9C"/>
    <w:rsid w:val="00D52D73"/>
    <w:rsid w:val="00D52E58"/>
    <w:rsid w:val="00D56B20"/>
    <w:rsid w:val="00D714CC"/>
    <w:rsid w:val="00D73CFC"/>
    <w:rsid w:val="00D75EA7"/>
    <w:rsid w:val="00D77CFC"/>
    <w:rsid w:val="00D81F21"/>
    <w:rsid w:val="00D84687"/>
    <w:rsid w:val="00D873D5"/>
    <w:rsid w:val="00D95470"/>
    <w:rsid w:val="00DA2619"/>
    <w:rsid w:val="00DA4239"/>
    <w:rsid w:val="00DB0B61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4B83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478A"/>
    <w:rsid w:val="00E6794C"/>
    <w:rsid w:val="00E70046"/>
    <w:rsid w:val="00E71591"/>
    <w:rsid w:val="00E73984"/>
    <w:rsid w:val="00E80DE3"/>
    <w:rsid w:val="00E82C55"/>
    <w:rsid w:val="00E90381"/>
    <w:rsid w:val="00E92AC3"/>
    <w:rsid w:val="00EA4313"/>
    <w:rsid w:val="00EB00E0"/>
    <w:rsid w:val="00EC059F"/>
    <w:rsid w:val="00EC101D"/>
    <w:rsid w:val="00EC1F24"/>
    <w:rsid w:val="00EC22F6"/>
    <w:rsid w:val="00ED5B9B"/>
    <w:rsid w:val="00ED6BAD"/>
    <w:rsid w:val="00ED7447"/>
    <w:rsid w:val="00EE1488"/>
    <w:rsid w:val="00EE1D1E"/>
    <w:rsid w:val="00EE3E24"/>
    <w:rsid w:val="00EE4D5D"/>
    <w:rsid w:val="00EE5131"/>
    <w:rsid w:val="00EE74E5"/>
    <w:rsid w:val="00EE75CE"/>
    <w:rsid w:val="00EF109B"/>
    <w:rsid w:val="00EF36AF"/>
    <w:rsid w:val="00F00F9C"/>
    <w:rsid w:val="00F01C7D"/>
    <w:rsid w:val="00F01E5F"/>
    <w:rsid w:val="00F02ABA"/>
    <w:rsid w:val="00F03FEF"/>
    <w:rsid w:val="00F0437A"/>
    <w:rsid w:val="00F07380"/>
    <w:rsid w:val="00F11037"/>
    <w:rsid w:val="00F139F3"/>
    <w:rsid w:val="00F16F1B"/>
    <w:rsid w:val="00F250A9"/>
    <w:rsid w:val="00F2626A"/>
    <w:rsid w:val="00F30FF4"/>
    <w:rsid w:val="00F3122E"/>
    <w:rsid w:val="00F32532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67E33"/>
    <w:rsid w:val="00F71A53"/>
    <w:rsid w:val="00F72C2C"/>
    <w:rsid w:val="00F76CAB"/>
    <w:rsid w:val="00F772C6"/>
    <w:rsid w:val="00F815B5"/>
    <w:rsid w:val="00F85195"/>
    <w:rsid w:val="00F938BA"/>
    <w:rsid w:val="00FA2C46"/>
    <w:rsid w:val="00FA3525"/>
    <w:rsid w:val="00FA5737"/>
    <w:rsid w:val="00FA5A53"/>
    <w:rsid w:val="00FB4769"/>
    <w:rsid w:val="00FB4CDA"/>
    <w:rsid w:val="00FC0F81"/>
    <w:rsid w:val="00FC395C"/>
    <w:rsid w:val="00FC6470"/>
    <w:rsid w:val="00FC6DBE"/>
    <w:rsid w:val="00FD3766"/>
    <w:rsid w:val="00FD47C4"/>
    <w:rsid w:val="00FE2DCF"/>
    <w:rsid w:val="00FE3733"/>
    <w:rsid w:val="00FE3FA7"/>
    <w:rsid w:val="00FF2FCE"/>
    <w:rsid w:val="00FF4F7D"/>
    <w:rsid w:val="00FF6D9D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7C0F88"/>
  <w15:docId w15:val="{69C0752B-F3CB-47EC-B9D3-40DC2AFE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93B5C"/>
    <w:rPr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D193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03061" w:themeColor="text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D1931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03061" w:themeColor="text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D1931"/>
    <w:rPr>
      <w:rFonts w:ascii="Arial" w:eastAsia="MS Gothic" w:hAnsi="Arial" w:cs="Arial"/>
      <w:bCs/>
      <w:color w:val="D03061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D1931"/>
    <w:rPr>
      <w:rFonts w:ascii="Arial" w:hAnsi="Arial"/>
      <w:b/>
      <w:color w:val="D03061" w:themeColor="text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E7004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5"/>
      </w:tcPr>
    </w:tblStyle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D501DB"/>
    <w:pPr>
      <w:numPr>
        <w:numId w:val="2"/>
      </w:numPr>
      <w:spacing w:after="40"/>
      <w:ind w:left="284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EA4313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1D1931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1D1931"/>
    <w:rPr>
      <w:rFonts w:ascii="Arial" w:hAnsi="Arial"/>
      <w:b/>
      <w:color w:val="D03061" w:themeColor="text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EE74E5"/>
    <w:pPr>
      <w:spacing w:line="216" w:lineRule="auto"/>
    </w:pPr>
    <w:rPr>
      <w:rFonts w:ascii="Arial" w:hAnsi="Arial"/>
      <w:caps/>
      <w:color w:val="FFFFFF"/>
      <w:sz w:val="64"/>
      <w:szCs w:val="64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DHHStablecolhead">
    <w:name w:val="DHHS table col head"/>
    <w:uiPriority w:val="3"/>
    <w:qFormat/>
    <w:rsid w:val="00041A51"/>
    <w:pPr>
      <w:spacing w:before="80" w:after="60"/>
    </w:pPr>
    <w:rPr>
      <w:rFonts w:ascii="Arial" w:hAnsi="Arial"/>
      <w:b/>
      <w:color w:val="FFFFFF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1"/>
      </w:numPr>
    </w:pPr>
  </w:style>
  <w:style w:type="character" w:styleId="Hyperlink">
    <w:name w:val="Hyperlink"/>
    <w:uiPriority w:val="99"/>
    <w:rsid w:val="00D73CFC"/>
    <w:rPr>
      <w:color w:val="0074BC"/>
      <w:u w:val="dotted"/>
    </w:rPr>
  </w:style>
  <w:style w:type="paragraph" w:customStyle="1" w:styleId="DHHSmainsubheading">
    <w:name w:val="DHHS main subheading"/>
    <w:uiPriority w:val="8"/>
    <w:rsid w:val="00EE74E5"/>
    <w:rPr>
      <w:rFonts w:ascii="Arial" w:hAnsi="Arial"/>
      <w:b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8E7B4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7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1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7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6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6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5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87"/>
    <w:rPr>
      <w:rFonts w:ascii="Tahoma" w:hAnsi="Tahoma" w:cs="Tahoma"/>
      <w:sz w:val="16"/>
      <w:szCs w:val="16"/>
      <w:lang w:eastAsia="en-US"/>
    </w:rPr>
  </w:style>
  <w:style w:type="table" w:styleId="LightGrid-Accent1">
    <w:name w:val="Light Grid Accent 1"/>
    <w:basedOn w:val="TableNormal"/>
    <w:uiPriority w:val="62"/>
    <w:rsid w:val="00493B5C"/>
    <w:rPr>
      <w:lang w:eastAsia="en-US"/>
    </w:rPr>
    <w:tblPr>
      <w:tblStyleRowBandSize w:val="1"/>
      <w:tblStyleColBandSize w:val="1"/>
      <w:tblBorders>
        <w:top w:val="single" w:sz="8" w:space="0" w:color="D03061" w:themeColor="accent1"/>
        <w:left w:val="single" w:sz="8" w:space="0" w:color="D03061" w:themeColor="accent1"/>
        <w:bottom w:val="single" w:sz="8" w:space="0" w:color="D03061" w:themeColor="accent1"/>
        <w:right w:val="single" w:sz="8" w:space="0" w:color="D03061" w:themeColor="accent1"/>
        <w:insideH w:val="single" w:sz="8" w:space="0" w:color="D03061" w:themeColor="accent1"/>
        <w:insideV w:val="single" w:sz="8" w:space="0" w:color="D0306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3061" w:themeColor="accent1"/>
          <w:left w:val="single" w:sz="8" w:space="0" w:color="D03061" w:themeColor="accent1"/>
          <w:bottom w:val="single" w:sz="18" w:space="0" w:color="D03061" w:themeColor="accent1"/>
          <w:right w:val="single" w:sz="8" w:space="0" w:color="D03061" w:themeColor="accent1"/>
          <w:insideH w:val="nil"/>
          <w:insideV w:val="single" w:sz="8" w:space="0" w:color="D0306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3061" w:themeColor="accent1"/>
          <w:left w:val="single" w:sz="8" w:space="0" w:color="D03061" w:themeColor="accent1"/>
          <w:bottom w:val="single" w:sz="8" w:space="0" w:color="D03061" w:themeColor="accent1"/>
          <w:right w:val="single" w:sz="8" w:space="0" w:color="D03061" w:themeColor="accent1"/>
          <w:insideH w:val="nil"/>
          <w:insideV w:val="single" w:sz="8" w:space="0" w:color="D0306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3061" w:themeColor="accent1"/>
          <w:left w:val="single" w:sz="8" w:space="0" w:color="D03061" w:themeColor="accent1"/>
          <w:bottom w:val="single" w:sz="8" w:space="0" w:color="D03061" w:themeColor="accent1"/>
          <w:right w:val="single" w:sz="8" w:space="0" w:color="D03061" w:themeColor="accent1"/>
        </w:tcBorders>
      </w:tcPr>
    </w:tblStylePr>
    <w:tblStylePr w:type="band1Vert">
      <w:tblPr/>
      <w:tcPr>
        <w:tcBorders>
          <w:top w:val="single" w:sz="8" w:space="0" w:color="D03061" w:themeColor="accent1"/>
          <w:left w:val="single" w:sz="8" w:space="0" w:color="D03061" w:themeColor="accent1"/>
          <w:bottom w:val="single" w:sz="8" w:space="0" w:color="D03061" w:themeColor="accent1"/>
          <w:right w:val="single" w:sz="8" w:space="0" w:color="D03061" w:themeColor="accent1"/>
        </w:tcBorders>
        <w:shd w:val="clear" w:color="auto" w:fill="F3CBD7" w:themeFill="accent1" w:themeFillTint="3F"/>
      </w:tcPr>
    </w:tblStylePr>
    <w:tblStylePr w:type="band1Horz">
      <w:tblPr/>
      <w:tcPr>
        <w:tcBorders>
          <w:top w:val="single" w:sz="8" w:space="0" w:color="D03061" w:themeColor="accent1"/>
          <w:left w:val="single" w:sz="8" w:space="0" w:color="D03061" w:themeColor="accent1"/>
          <w:bottom w:val="single" w:sz="8" w:space="0" w:color="D03061" w:themeColor="accent1"/>
          <w:right w:val="single" w:sz="8" w:space="0" w:color="D03061" w:themeColor="accent1"/>
          <w:insideV w:val="single" w:sz="8" w:space="0" w:color="D03061" w:themeColor="accent1"/>
        </w:tcBorders>
        <w:shd w:val="clear" w:color="auto" w:fill="F3CBD7" w:themeFill="accent1" w:themeFillTint="3F"/>
      </w:tcPr>
    </w:tblStylePr>
    <w:tblStylePr w:type="band2Horz">
      <w:tblPr/>
      <w:tcPr>
        <w:tcBorders>
          <w:top w:val="single" w:sz="8" w:space="0" w:color="D03061" w:themeColor="accent1"/>
          <w:left w:val="single" w:sz="8" w:space="0" w:color="D03061" w:themeColor="accent1"/>
          <w:bottom w:val="single" w:sz="8" w:space="0" w:color="D03061" w:themeColor="accent1"/>
          <w:right w:val="single" w:sz="8" w:space="0" w:color="D03061" w:themeColor="accent1"/>
          <w:insideV w:val="single" w:sz="8" w:space="0" w:color="D03061" w:themeColor="accent1"/>
        </w:tcBorders>
      </w:tcPr>
    </w:tblStylePr>
  </w:style>
  <w:style w:type="table" w:styleId="MediumGrid3-Accent4">
    <w:name w:val="Medium Grid 3 Accent 4"/>
    <w:basedOn w:val="TableNormal"/>
    <w:uiPriority w:val="60"/>
    <w:rsid w:val="004876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A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A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A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A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4BE" w:themeFill="accent4" w:themeFillTint="7F"/>
      </w:tcPr>
    </w:tblStylePr>
  </w:style>
  <w:style w:type="table" w:styleId="LightGrid-Accent4">
    <w:name w:val="Light Grid Accent 4"/>
    <w:basedOn w:val="TableNormal"/>
    <w:uiPriority w:val="67"/>
    <w:rsid w:val="00487626"/>
    <w:tblPr>
      <w:tblStyleRowBandSize w:val="1"/>
      <w:tblStyleColBandSize w:val="1"/>
      <w:tblBorders>
        <w:top w:val="single" w:sz="8" w:space="0" w:color="EF4A7E" w:themeColor="accent4"/>
        <w:left w:val="single" w:sz="8" w:space="0" w:color="EF4A7E" w:themeColor="accent4"/>
        <w:bottom w:val="single" w:sz="8" w:space="0" w:color="EF4A7E" w:themeColor="accent4"/>
        <w:right w:val="single" w:sz="8" w:space="0" w:color="EF4A7E" w:themeColor="accent4"/>
        <w:insideH w:val="single" w:sz="8" w:space="0" w:color="EF4A7E" w:themeColor="accent4"/>
        <w:insideV w:val="single" w:sz="8" w:space="0" w:color="EF4A7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A7E" w:themeColor="accent4"/>
          <w:left w:val="single" w:sz="8" w:space="0" w:color="EF4A7E" w:themeColor="accent4"/>
          <w:bottom w:val="single" w:sz="18" w:space="0" w:color="EF4A7E" w:themeColor="accent4"/>
          <w:right w:val="single" w:sz="8" w:space="0" w:color="EF4A7E" w:themeColor="accent4"/>
          <w:insideH w:val="nil"/>
          <w:insideV w:val="single" w:sz="8" w:space="0" w:color="EF4A7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A7E" w:themeColor="accent4"/>
          <w:left w:val="single" w:sz="8" w:space="0" w:color="EF4A7E" w:themeColor="accent4"/>
          <w:bottom w:val="single" w:sz="8" w:space="0" w:color="EF4A7E" w:themeColor="accent4"/>
          <w:right w:val="single" w:sz="8" w:space="0" w:color="EF4A7E" w:themeColor="accent4"/>
          <w:insideH w:val="nil"/>
          <w:insideV w:val="single" w:sz="8" w:space="0" w:color="EF4A7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A7E" w:themeColor="accent4"/>
          <w:left w:val="single" w:sz="8" w:space="0" w:color="EF4A7E" w:themeColor="accent4"/>
          <w:bottom w:val="single" w:sz="8" w:space="0" w:color="EF4A7E" w:themeColor="accent4"/>
          <w:right w:val="single" w:sz="8" w:space="0" w:color="EF4A7E" w:themeColor="accent4"/>
        </w:tcBorders>
      </w:tcPr>
    </w:tblStylePr>
    <w:tblStylePr w:type="band1Vert">
      <w:tblPr/>
      <w:tcPr>
        <w:tcBorders>
          <w:top w:val="single" w:sz="8" w:space="0" w:color="EF4A7E" w:themeColor="accent4"/>
          <w:left w:val="single" w:sz="8" w:space="0" w:color="EF4A7E" w:themeColor="accent4"/>
          <w:bottom w:val="single" w:sz="8" w:space="0" w:color="EF4A7E" w:themeColor="accent4"/>
          <w:right w:val="single" w:sz="8" w:space="0" w:color="EF4A7E" w:themeColor="accent4"/>
        </w:tcBorders>
        <w:shd w:val="clear" w:color="auto" w:fill="FBD1DE" w:themeFill="accent4" w:themeFillTint="3F"/>
      </w:tcPr>
    </w:tblStylePr>
    <w:tblStylePr w:type="band1Horz">
      <w:tblPr/>
      <w:tcPr>
        <w:tcBorders>
          <w:top w:val="single" w:sz="8" w:space="0" w:color="EF4A7E" w:themeColor="accent4"/>
          <w:left w:val="single" w:sz="8" w:space="0" w:color="EF4A7E" w:themeColor="accent4"/>
          <w:bottom w:val="single" w:sz="8" w:space="0" w:color="EF4A7E" w:themeColor="accent4"/>
          <w:right w:val="single" w:sz="8" w:space="0" w:color="EF4A7E" w:themeColor="accent4"/>
          <w:insideV w:val="single" w:sz="8" w:space="0" w:color="EF4A7E" w:themeColor="accent4"/>
        </w:tcBorders>
        <w:shd w:val="clear" w:color="auto" w:fill="FBD1DE" w:themeFill="accent4" w:themeFillTint="3F"/>
      </w:tcPr>
    </w:tblStylePr>
    <w:tblStylePr w:type="band2Horz">
      <w:tblPr/>
      <w:tcPr>
        <w:tcBorders>
          <w:top w:val="single" w:sz="8" w:space="0" w:color="EF4A7E" w:themeColor="accent4"/>
          <w:left w:val="single" w:sz="8" w:space="0" w:color="EF4A7E" w:themeColor="accent4"/>
          <w:bottom w:val="single" w:sz="8" w:space="0" w:color="EF4A7E" w:themeColor="accent4"/>
          <w:right w:val="single" w:sz="8" w:space="0" w:color="EF4A7E" w:themeColor="accent4"/>
          <w:insideV w:val="single" w:sz="8" w:space="0" w:color="EF4A7E" w:themeColor="accent4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4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9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974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597"/>
    <w:rPr>
      <w:color w:val="808080"/>
      <w:shd w:val="clear" w:color="auto" w:fill="E6E6E6"/>
    </w:rPr>
  </w:style>
  <w:style w:type="paragraph" w:styleId="Revision">
    <w:name w:val="Revision"/>
    <w:hidden/>
    <w:uiPriority w:val="71"/>
    <w:semiHidden/>
    <w:rsid w:val="005448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stainability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2.health.vic.gov.au/about/publications/FormsAndTemplates/victorian-public-health-services-waste-reporting-too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PSP\Sustainability\Communications\Templates%20Sustainability%20in%20Health%202018\VHHSBA_SiH_Health%20Fact_Sheet.dotx" TargetMode="External"/></Relationships>
</file>

<file path=word/theme/theme1.xml><?xml version="1.0" encoding="utf-8"?>
<a:theme xmlns:a="http://schemas.openxmlformats.org/drawingml/2006/main" name="Office Theme">
  <a:themeElements>
    <a:clrScheme name="VHHSBA health">
      <a:dk1>
        <a:sysClr val="windowText" lastClr="000000"/>
      </a:dk1>
      <a:lt1>
        <a:sysClr val="window" lastClr="FFFFFF"/>
      </a:lt1>
      <a:dk2>
        <a:srgbClr val="D03061"/>
      </a:dk2>
      <a:lt2>
        <a:srgbClr val="FFFFFF"/>
      </a:lt2>
      <a:accent1>
        <a:srgbClr val="D03061"/>
      </a:accent1>
      <a:accent2>
        <a:srgbClr val="5BCBF5"/>
      </a:accent2>
      <a:accent3>
        <a:srgbClr val="414042"/>
      </a:accent3>
      <a:accent4>
        <a:srgbClr val="EF4A7E"/>
      </a:accent4>
      <a:accent5>
        <a:srgbClr val="0074BC"/>
      </a:accent5>
      <a:accent6>
        <a:srgbClr val="F79646"/>
      </a:accent6>
      <a:hlink>
        <a:srgbClr val="0074BC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F1E1-4D8B-4ABB-B289-B871AB16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VHHSBA_SiH_Health Fact_Sheet.dotx</Template>
  <TotalTime>2</TotalTime>
  <Pages>10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service waste audit guidelines</vt:lpstr>
    </vt:vector>
  </TitlesOfParts>
  <Company>Victorian Health and Human Services Building Authority</Company>
  <LinksUpToDate>false</LinksUpToDate>
  <CharactersWithSpaces>15968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waste audit guidelines</dc:title>
  <dc:subject>Health service waste audit guidelines</dc:subject>
  <dc:creator>Victorian Health and Human Services Building Authority</dc:creator>
  <cp:keywords>Health service, waste, audit, guidelines</cp:keywords>
  <cp:lastModifiedBy>Sarah Hooton (DHHS)</cp:lastModifiedBy>
  <cp:revision>2</cp:revision>
  <cp:lastPrinted>2019-04-02T05:33:00Z</cp:lastPrinted>
  <dcterms:created xsi:type="dcterms:W3CDTF">2020-05-29T02:50:00Z</dcterms:created>
  <dcterms:modified xsi:type="dcterms:W3CDTF">2020-05-29T02:50:00Z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