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084A4" w14:textId="05D6A7C8" w:rsidR="00002990" w:rsidRPr="003072C6" w:rsidRDefault="00913D72" w:rsidP="00A55989">
      <w:pPr>
        <w:pStyle w:val="DHHSbodynospace"/>
      </w:pPr>
      <w:r>
        <w:rPr>
          <w:noProof/>
          <w:lang w:eastAsia="en-AU"/>
        </w:rPr>
        <w:drawing>
          <wp:anchor distT="0" distB="0" distL="114300" distR="114300" simplePos="0" relativeHeight="251649024" behindDoc="1" locked="1" layoutInCell="0" allowOverlap="1" wp14:anchorId="2896FE1E" wp14:editId="6AEA00C0">
            <wp:simplePos x="0" y="0"/>
            <wp:positionH relativeFrom="page">
              <wp:posOffset>-4427220</wp:posOffset>
            </wp:positionH>
            <wp:positionV relativeFrom="page">
              <wp:posOffset>3459480</wp:posOffset>
            </wp:positionV>
            <wp:extent cx="12323445" cy="6595745"/>
            <wp:effectExtent l="0" t="0" r="1905"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stretch>
                      <a:fillRect/>
                    </a:stretch>
                  </pic:blipFill>
                  <pic:spPr bwMode="auto">
                    <a:xfrm>
                      <a:off x="0" y="0"/>
                      <a:ext cx="12323445" cy="659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0F2">
        <w:rPr>
          <w:noProof/>
          <w:lang w:eastAsia="en-AU"/>
        </w:rPr>
        <w:drawing>
          <wp:anchor distT="0" distB="0" distL="114300" distR="114300" simplePos="0" relativeHeight="251658240" behindDoc="1" locked="1" layoutInCell="0" allowOverlap="1" wp14:anchorId="5B82E263" wp14:editId="2E2BC2E2">
            <wp:simplePos x="0" y="0"/>
            <wp:positionH relativeFrom="page">
              <wp:posOffset>1270</wp:posOffset>
            </wp:positionH>
            <wp:positionV relativeFrom="page">
              <wp:posOffset>8641715</wp:posOffset>
            </wp:positionV>
            <wp:extent cx="7560945" cy="20548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HSBA Health report cover background bottom.png"/>
                    <pic:cNvPicPr/>
                  </pic:nvPicPr>
                  <pic:blipFill>
                    <a:blip r:embed="rId9">
                      <a:extLst>
                        <a:ext uri="{28A0092B-C50C-407E-A947-70E740481C1C}">
                          <a14:useLocalDpi xmlns:a14="http://schemas.microsoft.com/office/drawing/2010/main" val="0"/>
                        </a:ext>
                      </a:extLst>
                    </a:blip>
                    <a:stretch>
                      <a:fillRect/>
                    </a:stretch>
                  </pic:blipFill>
                  <pic:spPr>
                    <a:xfrm>
                      <a:off x="0" y="0"/>
                      <a:ext cx="7560945" cy="2054860"/>
                    </a:xfrm>
                    <a:prstGeom prst="rect">
                      <a:avLst/>
                    </a:prstGeom>
                  </pic:spPr>
                </pic:pic>
              </a:graphicData>
            </a:graphic>
            <wp14:sizeRelH relativeFrom="margin">
              <wp14:pctWidth>0</wp14:pctWidth>
            </wp14:sizeRelH>
            <wp14:sizeRelV relativeFrom="margin">
              <wp14:pctHeight>0</wp14:pctHeight>
            </wp14:sizeRelV>
          </wp:anchor>
        </w:drawing>
      </w:r>
      <w:r w:rsidR="00417CC6">
        <w:rPr>
          <w:noProof/>
          <w:lang w:eastAsia="en-AU"/>
        </w:rPr>
        <w:drawing>
          <wp:anchor distT="0" distB="0" distL="114300" distR="114300" simplePos="0" relativeHeight="251651072" behindDoc="1" locked="1" layoutInCell="0" allowOverlap="1" wp14:anchorId="28A3B794" wp14:editId="5FE018C3">
            <wp:simplePos x="0" y="0"/>
            <wp:positionH relativeFrom="page">
              <wp:posOffset>0</wp:posOffset>
            </wp:positionH>
            <wp:positionV relativeFrom="page">
              <wp:posOffset>0</wp:posOffset>
            </wp:positionV>
            <wp:extent cx="7562850" cy="4199255"/>
            <wp:effectExtent l="0" t="0" r="0" b="0"/>
            <wp:wrapNone/>
            <wp:docPr id="100" name="Picture 9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285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258" w:type="dxa"/>
        <w:tblInd w:w="113" w:type="dxa"/>
        <w:tblCellMar>
          <w:left w:w="0" w:type="dxa"/>
          <w:right w:w="0" w:type="dxa"/>
        </w:tblCellMar>
        <w:tblLook w:val="04A0" w:firstRow="1" w:lastRow="0" w:firstColumn="1" w:lastColumn="0" w:noHBand="0" w:noVBand="1"/>
      </w:tblPr>
      <w:tblGrid>
        <w:gridCol w:w="7258"/>
      </w:tblGrid>
      <w:tr w:rsidR="001817CD" w:rsidRPr="003072C6" w14:paraId="206DB081" w14:textId="77777777" w:rsidTr="00126787">
        <w:trPr>
          <w:trHeight w:val="2851"/>
        </w:trPr>
        <w:tc>
          <w:tcPr>
            <w:tcW w:w="7258" w:type="dxa"/>
            <w:shd w:val="clear" w:color="auto" w:fill="auto"/>
            <w:vAlign w:val="center"/>
          </w:tcPr>
          <w:p w14:paraId="5ECD513B" w14:textId="77777777" w:rsidR="008A36BF" w:rsidRPr="005073F9" w:rsidRDefault="008A36BF" w:rsidP="00D84C4D">
            <w:pPr>
              <w:pStyle w:val="DHHSreportsubtitlewhite"/>
              <w:rPr>
                <w:b w:val="0"/>
                <w:caps/>
                <w:sz w:val="52"/>
                <w:szCs w:val="52"/>
              </w:rPr>
            </w:pPr>
            <w:r w:rsidRPr="005073F9">
              <w:rPr>
                <w:b w:val="0"/>
                <w:caps/>
                <w:sz w:val="52"/>
                <w:szCs w:val="52"/>
              </w:rPr>
              <w:t>Property management and governance guidelines</w:t>
            </w:r>
          </w:p>
          <w:p w14:paraId="05B2337B" w14:textId="7BFA3DED" w:rsidR="00444D82" w:rsidRPr="00D84C4D" w:rsidRDefault="008A36BF" w:rsidP="00D84C4D">
            <w:pPr>
              <w:pStyle w:val="DHHSreportsubtitlewhite"/>
            </w:pPr>
            <w:r w:rsidRPr="005073F9">
              <w:rPr>
                <w:color w:val="FFFFFF" w:themeColor="background1"/>
                <w:sz w:val="24"/>
                <w:szCs w:val="24"/>
              </w:rPr>
              <w:t>Procedural framework for public sector health entities considering the acquisition, divestment</w:t>
            </w:r>
            <w:r w:rsidR="005073F9" w:rsidRPr="005073F9">
              <w:rPr>
                <w:color w:val="FFFFFF" w:themeColor="background1"/>
                <w:sz w:val="24"/>
                <w:szCs w:val="24"/>
              </w:rPr>
              <w:t xml:space="preserve"> </w:t>
            </w:r>
            <w:r w:rsidRPr="005073F9">
              <w:rPr>
                <w:color w:val="FFFFFF" w:themeColor="background1"/>
                <w:sz w:val="24"/>
                <w:szCs w:val="24"/>
              </w:rPr>
              <w:t>and leasing of land</w:t>
            </w:r>
          </w:p>
        </w:tc>
      </w:tr>
      <w:tr w:rsidR="003822A7" w:rsidRPr="003072C6" w14:paraId="7B5D2C59" w14:textId="77777777" w:rsidTr="00126787">
        <w:tc>
          <w:tcPr>
            <w:tcW w:w="7258" w:type="dxa"/>
            <w:shd w:val="clear" w:color="auto" w:fill="auto"/>
          </w:tcPr>
          <w:p w14:paraId="2B190EE5" w14:textId="77777777" w:rsidR="003822A7" w:rsidRPr="003072C6" w:rsidRDefault="003822A7" w:rsidP="003822A7">
            <w:pPr>
              <w:pStyle w:val="DHHSbody"/>
            </w:pPr>
          </w:p>
        </w:tc>
      </w:tr>
    </w:tbl>
    <w:p w14:paraId="407B4546" w14:textId="77777777" w:rsidR="0069374A" w:rsidRPr="00B2614A" w:rsidRDefault="0069374A" w:rsidP="00B2614A">
      <w:pPr>
        <w:pStyle w:val="DHHSbody"/>
      </w:pPr>
    </w:p>
    <w:p w14:paraId="541D5A7B" w14:textId="77777777" w:rsidR="00C51B1C" w:rsidRPr="00B2614A" w:rsidRDefault="00C51B1C" w:rsidP="00B2614A">
      <w:pPr>
        <w:pStyle w:val="DHHSbody"/>
        <w:sectPr w:rsidR="00C51B1C" w:rsidRPr="00B2614A" w:rsidSect="00050C2F">
          <w:headerReference w:type="even" r:id="rId11"/>
          <w:headerReference w:type="default" r:id="rId12"/>
          <w:footerReference w:type="even" r:id="rId13"/>
          <w:footerReference w:type="default" r:id="rId14"/>
          <w:headerReference w:type="first" r:id="rId15"/>
          <w:footerReference w:type="first" r:id="rId16"/>
          <w:type w:val="oddPage"/>
          <w:pgSz w:w="11906" w:h="16838"/>
          <w:pgMar w:top="3175" w:right="1304" w:bottom="1134" w:left="1928" w:header="454" w:footer="567" w:gutter="0"/>
          <w:cols w:space="720"/>
          <w:docGrid w:linePitch="360"/>
        </w:sectPr>
      </w:pPr>
    </w:p>
    <w:p w14:paraId="566A1E28" w14:textId="11540D55"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678AC" w14:paraId="06752610" w14:textId="77777777" w:rsidTr="00564E8F">
        <w:trPr>
          <w:trHeight w:val="4313"/>
        </w:trPr>
        <w:tc>
          <w:tcPr>
            <w:tcW w:w="9401" w:type="dxa"/>
          </w:tcPr>
          <w:p w14:paraId="3539D38A" w14:textId="3478D297" w:rsidR="00564E8F" w:rsidRPr="00E678AC" w:rsidRDefault="00564E8F" w:rsidP="00E678AC">
            <w:pPr>
              <w:pStyle w:val="DHHSbody"/>
            </w:pPr>
          </w:p>
        </w:tc>
      </w:tr>
      <w:tr w:rsidR="00564E8F" w:rsidRPr="003072C6" w14:paraId="343048BD" w14:textId="77777777" w:rsidTr="003741AD">
        <w:trPr>
          <w:trHeight w:val="5387"/>
        </w:trPr>
        <w:tc>
          <w:tcPr>
            <w:tcW w:w="9401" w:type="dxa"/>
            <w:vAlign w:val="bottom"/>
          </w:tcPr>
          <w:p w14:paraId="4C4A7C59" w14:textId="4535B04B" w:rsidR="00996364" w:rsidRPr="0026081C" w:rsidRDefault="00996364" w:rsidP="00551789">
            <w:pPr>
              <w:pStyle w:val="DHHSbody"/>
            </w:pPr>
            <w:r w:rsidRPr="0026081C">
              <w:t xml:space="preserve">To receive this publication in an accessible format phone 03 9096 </w:t>
            </w:r>
            <w:r w:rsidR="0026081C" w:rsidRPr="0026081C">
              <w:t>9916</w:t>
            </w:r>
            <w:r w:rsidRPr="0026081C">
              <w:t xml:space="preserve">, using the National Relay Service 13 36 77 if required, or email </w:t>
            </w:r>
            <w:hyperlink r:id="rId17" w:history="1">
              <w:r w:rsidR="004B4963" w:rsidRPr="00FE7665">
                <w:rPr>
                  <w:rStyle w:val="Hyperlink"/>
                </w:rPr>
                <w:t>capital@dhhs.vic.gov.au</w:t>
              </w:r>
            </w:hyperlink>
            <w:r w:rsidR="004B4963">
              <w:t xml:space="preserve"> </w:t>
            </w:r>
            <w:r w:rsidRPr="0026081C" w:rsidDel="00996364">
              <w:t xml:space="preserve"> </w:t>
            </w:r>
          </w:p>
          <w:p w14:paraId="13B7F190" w14:textId="79A8657E" w:rsidR="00551789" w:rsidRPr="0026081C" w:rsidRDefault="00551789" w:rsidP="00551789">
            <w:pPr>
              <w:pStyle w:val="DHHSbody"/>
            </w:pPr>
            <w:r w:rsidRPr="0026081C">
              <w:t>Authorised and published by the Victorian Government, 1 Treasury Place, Melbourne.</w:t>
            </w:r>
          </w:p>
          <w:p w14:paraId="12BAD158" w14:textId="4E188DE9" w:rsidR="00551789" w:rsidRPr="0026081C" w:rsidRDefault="00551789" w:rsidP="00551789">
            <w:pPr>
              <w:pStyle w:val="DHHSbody"/>
            </w:pPr>
            <w:r w:rsidRPr="0026081C">
              <w:t xml:space="preserve">© State of Victoria, Australia, </w:t>
            </w:r>
            <w:r w:rsidR="001C475E" w:rsidRPr="0026081C">
              <w:t>Victorian Health and Human Services Building Authority</w:t>
            </w:r>
            <w:r w:rsidR="004B4963">
              <w:t xml:space="preserve">, </w:t>
            </w:r>
            <w:r w:rsidR="0026081C" w:rsidRPr="0026081C">
              <w:t>June 2020</w:t>
            </w:r>
            <w:r w:rsidRPr="0026081C">
              <w:t>.</w:t>
            </w:r>
          </w:p>
          <w:p w14:paraId="50B8C4E5" w14:textId="77777777" w:rsidR="004B4963" w:rsidRDefault="004B4963" w:rsidP="00551789">
            <w:pPr>
              <w:pStyle w:val="DHHSbody"/>
              <w:rPr>
                <w:rFonts w:cs="Arial"/>
                <w:color w:val="000000"/>
              </w:rPr>
            </w:pPr>
            <w:r>
              <w:rPr>
                <w:rFonts w:cs="Arial"/>
                <w:b/>
                <w:bCs/>
                <w:color w:val="000000"/>
              </w:rPr>
              <w:t xml:space="preserve">ISBN </w:t>
            </w:r>
            <w:r>
              <w:rPr>
                <w:rFonts w:cs="Arial"/>
                <w:color w:val="000000"/>
              </w:rPr>
              <w:t xml:space="preserve">978-1-76096-004-9 </w:t>
            </w:r>
            <w:r>
              <w:rPr>
                <w:rFonts w:cs="Arial"/>
                <w:b/>
                <w:bCs/>
                <w:color w:val="000000"/>
              </w:rPr>
              <w:t>(pdf/online/MS word)</w:t>
            </w:r>
            <w:r>
              <w:rPr>
                <w:rFonts w:cs="Arial"/>
                <w:color w:val="000000"/>
              </w:rPr>
              <w:t xml:space="preserve"> </w:t>
            </w:r>
          </w:p>
          <w:p w14:paraId="4E0643E8" w14:textId="77777777" w:rsidR="00564E8F" w:rsidRDefault="005640FF" w:rsidP="00551789">
            <w:pPr>
              <w:pStyle w:val="DHHSbody"/>
            </w:pPr>
            <w:r>
              <w:t>Available at the Victorian Health and Human Services Building Authority website</w:t>
            </w:r>
          </w:p>
          <w:p w14:paraId="51834664" w14:textId="11DFE2AA" w:rsidR="005640FF" w:rsidRPr="003072C6" w:rsidRDefault="005640FF" w:rsidP="00551789">
            <w:pPr>
              <w:pStyle w:val="DHHSbody"/>
            </w:pPr>
            <w:r>
              <w:t>&lt;</w:t>
            </w:r>
            <w:hyperlink r:id="rId18" w:history="1">
              <w:r>
                <w:rPr>
                  <w:rStyle w:val="Hyperlink"/>
                </w:rPr>
                <w:t>https://www.vhhsba.vic.gov.au</w:t>
              </w:r>
            </w:hyperlink>
            <w:r>
              <w:t>&gt;</w:t>
            </w:r>
          </w:p>
        </w:tc>
      </w:tr>
      <w:tr w:rsidR="009906C7" w:rsidRPr="003072C6" w14:paraId="6BEA0CF7" w14:textId="77777777" w:rsidTr="009906C7">
        <w:tc>
          <w:tcPr>
            <w:tcW w:w="9401" w:type="dxa"/>
            <w:vAlign w:val="bottom"/>
          </w:tcPr>
          <w:p w14:paraId="3B634F68" w14:textId="77777777" w:rsidR="009906C7" w:rsidRPr="003072C6" w:rsidRDefault="009906C7" w:rsidP="003741AD">
            <w:pPr>
              <w:pStyle w:val="DHHSbodynospace"/>
            </w:pPr>
          </w:p>
        </w:tc>
      </w:tr>
    </w:tbl>
    <w:p w14:paraId="0D0044D0" w14:textId="77777777" w:rsidR="00ED4D17" w:rsidRPr="003072C6" w:rsidRDefault="00ED4D17" w:rsidP="003072C6">
      <w:pPr>
        <w:pStyle w:val="DHHSbody"/>
      </w:pPr>
    </w:p>
    <w:p w14:paraId="54B10342" w14:textId="77777777" w:rsidR="00D052B2" w:rsidRDefault="00D052B2" w:rsidP="00711B0C">
      <w:pPr>
        <w:pStyle w:val="DHHSTOCheadingreport"/>
        <w:sectPr w:rsidR="00D052B2" w:rsidSect="00C51B1C">
          <w:pgSz w:w="11906" w:h="16838"/>
          <w:pgMar w:top="1701" w:right="1304" w:bottom="1134" w:left="1304" w:header="454" w:footer="567" w:gutter="0"/>
          <w:cols w:space="720"/>
          <w:docGrid w:linePitch="360"/>
        </w:sectPr>
      </w:pPr>
      <w:bookmarkStart w:id="0" w:name="_GoBack"/>
      <w:bookmarkEnd w:id="0"/>
    </w:p>
    <w:p w14:paraId="5E5C9463" w14:textId="75623C52" w:rsidR="00AC0C3B" w:rsidRPr="00711B0C" w:rsidRDefault="00AC0C3B" w:rsidP="00711B0C">
      <w:pPr>
        <w:pStyle w:val="DHHSTOCheadingreport"/>
      </w:pPr>
      <w:r w:rsidRPr="00711B0C">
        <w:lastRenderedPageBreak/>
        <w:t>Contents</w:t>
      </w:r>
    </w:p>
    <w:p w14:paraId="7CB5D78F" w14:textId="1ACFB192" w:rsidR="004B4963"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2254565" w:history="1">
        <w:r w:rsidR="004B4963" w:rsidRPr="00397723">
          <w:rPr>
            <w:rStyle w:val="Hyperlink"/>
          </w:rPr>
          <w:t>Introduction</w:t>
        </w:r>
        <w:r w:rsidR="004B4963">
          <w:rPr>
            <w:webHidden/>
          </w:rPr>
          <w:tab/>
        </w:r>
        <w:r w:rsidR="004B4963">
          <w:rPr>
            <w:webHidden/>
          </w:rPr>
          <w:fldChar w:fldCharType="begin"/>
        </w:r>
        <w:r w:rsidR="004B4963">
          <w:rPr>
            <w:webHidden/>
          </w:rPr>
          <w:instrText xml:space="preserve"> PAGEREF _Toc42254565 \h </w:instrText>
        </w:r>
        <w:r w:rsidR="004B4963">
          <w:rPr>
            <w:webHidden/>
          </w:rPr>
        </w:r>
        <w:r w:rsidR="004B4963">
          <w:rPr>
            <w:webHidden/>
          </w:rPr>
          <w:fldChar w:fldCharType="separate"/>
        </w:r>
        <w:r w:rsidR="004B4963">
          <w:rPr>
            <w:webHidden/>
          </w:rPr>
          <w:t>1</w:t>
        </w:r>
        <w:r w:rsidR="004B4963">
          <w:rPr>
            <w:webHidden/>
          </w:rPr>
          <w:fldChar w:fldCharType="end"/>
        </w:r>
      </w:hyperlink>
    </w:p>
    <w:p w14:paraId="671B93A4" w14:textId="6831B0D5" w:rsidR="004B4963" w:rsidRDefault="005640FF">
      <w:pPr>
        <w:pStyle w:val="TOC2"/>
        <w:rPr>
          <w:rFonts w:asciiTheme="minorHAnsi" w:eastAsiaTheme="minorEastAsia" w:hAnsiTheme="minorHAnsi" w:cstheme="minorBidi"/>
          <w:sz w:val="22"/>
          <w:szCs w:val="22"/>
          <w:lang w:eastAsia="en-AU"/>
        </w:rPr>
      </w:pPr>
      <w:hyperlink w:anchor="_Toc42254566" w:history="1">
        <w:r w:rsidR="004B4963" w:rsidRPr="00397723">
          <w:rPr>
            <w:rStyle w:val="Hyperlink"/>
          </w:rPr>
          <w:t>Supporting and related documents</w:t>
        </w:r>
        <w:r w:rsidR="004B4963">
          <w:rPr>
            <w:webHidden/>
          </w:rPr>
          <w:tab/>
        </w:r>
        <w:r w:rsidR="004B4963">
          <w:rPr>
            <w:webHidden/>
          </w:rPr>
          <w:fldChar w:fldCharType="begin"/>
        </w:r>
        <w:r w:rsidR="004B4963">
          <w:rPr>
            <w:webHidden/>
          </w:rPr>
          <w:instrText xml:space="preserve"> PAGEREF _Toc42254566 \h </w:instrText>
        </w:r>
        <w:r w:rsidR="004B4963">
          <w:rPr>
            <w:webHidden/>
          </w:rPr>
        </w:r>
        <w:r w:rsidR="004B4963">
          <w:rPr>
            <w:webHidden/>
          </w:rPr>
          <w:fldChar w:fldCharType="separate"/>
        </w:r>
        <w:r w:rsidR="004B4963">
          <w:rPr>
            <w:webHidden/>
          </w:rPr>
          <w:t>2</w:t>
        </w:r>
        <w:r w:rsidR="004B4963">
          <w:rPr>
            <w:webHidden/>
          </w:rPr>
          <w:fldChar w:fldCharType="end"/>
        </w:r>
      </w:hyperlink>
    </w:p>
    <w:p w14:paraId="27FBDCD0" w14:textId="371BB2BF" w:rsidR="004B4963" w:rsidRDefault="005640FF">
      <w:pPr>
        <w:pStyle w:val="TOC1"/>
        <w:rPr>
          <w:rFonts w:asciiTheme="minorHAnsi" w:eastAsiaTheme="minorEastAsia" w:hAnsiTheme="minorHAnsi" w:cstheme="minorBidi"/>
          <w:b w:val="0"/>
          <w:sz w:val="22"/>
          <w:szCs w:val="22"/>
          <w:lang w:eastAsia="en-AU"/>
        </w:rPr>
      </w:pPr>
      <w:hyperlink w:anchor="_Toc42254567" w:history="1">
        <w:r w:rsidR="004B4963" w:rsidRPr="00397723">
          <w:rPr>
            <w:rStyle w:val="Hyperlink"/>
          </w:rPr>
          <w:t>Part 1: Accountability and administration</w:t>
        </w:r>
        <w:r w:rsidR="004B4963">
          <w:rPr>
            <w:webHidden/>
          </w:rPr>
          <w:tab/>
        </w:r>
        <w:r w:rsidR="004B4963">
          <w:rPr>
            <w:webHidden/>
          </w:rPr>
          <w:fldChar w:fldCharType="begin"/>
        </w:r>
        <w:r w:rsidR="004B4963">
          <w:rPr>
            <w:webHidden/>
          </w:rPr>
          <w:instrText xml:space="preserve"> PAGEREF _Toc42254567 \h </w:instrText>
        </w:r>
        <w:r w:rsidR="004B4963">
          <w:rPr>
            <w:webHidden/>
          </w:rPr>
        </w:r>
        <w:r w:rsidR="004B4963">
          <w:rPr>
            <w:webHidden/>
          </w:rPr>
          <w:fldChar w:fldCharType="separate"/>
        </w:r>
        <w:r w:rsidR="004B4963">
          <w:rPr>
            <w:webHidden/>
          </w:rPr>
          <w:t>3</w:t>
        </w:r>
        <w:r w:rsidR="004B4963">
          <w:rPr>
            <w:webHidden/>
          </w:rPr>
          <w:fldChar w:fldCharType="end"/>
        </w:r>
      </w:hyperlink>
    </w:p>
    <w:p w14:paraId="0452D010" w14:textId="64ED62D0" w:rsidR="004B4963" w:rsidRDefault="005640FF">
      <w:pPr>
        <w:pStyle w:val="TOC2"/>
        <w:rPr>
          <w:rFonts w:asciiTheme="minorHAnsi" w:eastAsiaTheme="minorEastAsia" w:hAnsiTheme="minorHAnsi" w:cstheme="minorBidi"/>
          <w:sz w:val="22"/>
          <w:szCs w:val="22"/>
          <w:lang w:eastAsia="en-AU"/>
        </w:rPr>
      </w:pPr>
      <w:hyperlink w:anchor="_Toc42254568" w:history="1">
        <w:r w:rsidR="004B4963" w:rsidRPr="00397723">
          <w:rPr>
            <w:rStyle w:val="Hyperlink"/>
          </w:rPr>
          <w:t>Health portfolio public entities</w:t>
        </w:r>
        <w:r w:rsidR="004B4963">
          <w:rPr>
            <w:webHidden/>
          </w:rPr>
          <w:tab/>
        </w:r>
        <w:r w:rsidR="004B4963">
          <w:rPr>
            <w:webHidden/>
          </w:rPr>
          <w:fldChar w:fldCharType="begin"/>
        </w:r>
        <w:r w:rsidR="004B4963">
          <w:rPr>
            <w:webHidden/>
          </w:rPr>
          <w:instrText xml:space="preserve"> PAGEREF _Toc42254568 \h </w:instrText>
        </w:r>
        <w:r w:rsidR="004B4963">
          <w:rPr>
            <w:webHidden/>
          </w:rPr>
        </w:r>
        <w:r w:rsidR="004B4963">
          <w:rPr>
            <w:webHidden/>
          </w:rPr>
          <w:fldChar w:fldCharType="separate"/>
        </w:r>
        <w:r w:rsidR="004B4963">
          <w:rPr>
            <w:webHidden/>
          </w:rPr>
          <w:t>3</w:t>
        </w:r>
        <w:r w:rsidR="004B4963">
          <w:rPr>
            <w:webHidden/>
          </w:rPr>
          <w:fldChar w:fldCharType="end"/>
        </w:r>
      </w:hyperlink>
    </w:p>
    <w:p w14:paraId="7804A7A3" w14:textId="0A544B61" w:rsidR="004B4963" w:rsidRDefault="005640FF">
      <w:pPr>
        <w:pStyle w:val="TOC2"/>
        <w:rPr>
          <w:rFonts w:asciiTheme="minorHAnsi" w:eastAsiaTheme="minorEastAsia" w:hAnsiTheme="minorHAnsi" w:cstheme="minorBidi"/>
          <w:sz w:val="22"/>
          <w:szCs w:val="22"/>
          <w:lang w:eastAsia="en-AU"/>
        </w:rPr>
      </w:pPr>
      <w:hyperlink w:anchor="_Toc42254569" w:history="1">
        <w:r w:rsidR="004B4963" w:rsidRPr="00397723">
          <w:rPr>
            <w:rStyle w:val="Hyperlink"/>
          </w:rPr>
          <w:t>Role of the Property team</w:t>
        </w:r>
        <w:r w:rsidR="004B4963">
          <w:rPr>
            <w:webHidden/>
          </w:rPr>
          <w:tab/>
        </w:r>
        <w:r w:rsidR="004B4963">
          <w:rPr>
            <w:webHidden/>
          </w:rPr>
          <w:fldChar w:fldCharType="begin"/>
        </w:r>
        <w:r w:rsidR="004B4963">
          <w:rPr>
            <w:webHidden/>
          </w:rPr>
          <w:instrText xml:space="preserve"> PAGEREF _Toc42254569 \h </w:instrText>
        </w:r>
        <w:r w:rsidR="004B4963">
          <w:rPr>
            <w:webHidden/>
          </w:rPr>
        </w:r>
        <w:r w:rsidR="004B4963">
          <w:rPr>
            <w:webHidden/>
          </w:rPr>
          <w:fldChar w:fldCharType="separate"/>
        </w:r>
        <w:r w:rsidR="004B4963">
          <w:rPr>
            <w:webHidden/>
          </w:rPr>
          <w:t>3</w:t>
        </w:r>
        <w:r w:rsidR="004B4963">
          <w:rPr>
            <w:webHidden/>
          </w:rPr>
          <w:fldChar w:fldCharType="end"/>
        </w:r>
      </w:hyperlink>
    </w:p>
    <w:p w14:paraId="65A01066" w14:textId="4FBD9ED6" w:rsidR="004B4963" w:rsidRDefault="005640FF">
      <w:pPr>
        <w:pStyle w:val="TOC2"/>
        <w:rPr>
          <w:rFonts w:asciiTheme="minorHAnsi" w:eastAsiaTheme="minorEastAsia" w:hAnsiTheme="minorHAnsi" w:cstheme="minorBidi"/>
          <w:sz w:val="22"/>
          <w:szCs w:val="22"/>
          <w:lang w:eastAsia="en-AU"/>
        </w:rPr>
      </w:pPr>
      <w:hyperlink w:anchor="_Toc42254570" w:history="1">
        <w:r w:rsidR="004B4963" w:rsidRPr="00397723">
          <w:rPr>
            <w:rStyle w:val="Hyperlink"/>
          </w:rPr>
          <w:t>Professional services</w:t>
        </w:r>
        <w:r w:rsidR="004B4963">
          <w:rPr>
            <w:webHidden/>
          </w:rPr>
          <w:tab/>
        </w:r>
        <w:r w:rsidR="004B4963">
          <w:rPr>
            <w:webHidden/>
          </w:rPr>
          <w:fldChar w:fldCharType="begin"/>
        </w:r>
        <w:r w:rsidR="004B4963">
          <w:rPr>
            <w:webHidden/>
          </w:rPr>
          <w:instrText xml:space="preserve"> PAGEREF _Toc42254570 \h </w:instrText>
        </w:r>
        <w:r w:rsidR="004B4963">
          <w:rPr>
            <w:webHidden/>
          </w:rPr>
        </w:r>
        <w:r w:rsidR="004B4963">
          <w:rPr>
            <w:webHidden/>
          </w:rPr>
          <w:fldChar w:fldCharType="separate"/>
        </w:r>
        <w:r w:rsidR="004B4963">
          <w:rPr>
            <w:webHidden/>
          </w:rPr>
          <w:t>3</w:t>
        </w:r>
        <w:r w:rsidR="004B4963">
          <w:rPr>
            <w:webHidden/>
          </w:rPr>
          <w:fldChar w:fldCharType="end"/>
        </w:r>
      </w:hyperlink>
    </w:p>
    <w:p w14:paraId="48A20061" w14:textId="0A0FFE10" w:rsidR="004B4963" w:rsidRDefault="005640FF">
      <w:pPr>
        <w:pStyle w:val="TOC2"/>
        <w:rPr>
          <w:rFonts w:asciiTheme="minorHAnsi" w:eastAsiaTheme="minorEastAsia" w:hAnsiTheme="minorHAnsi" w:cstheme="minorBidi"/>
          <w:sz w:val="22"/>
          <w:szCs w:val="22"/>
          <w:lang w:eastAsia="en-AU"/>
        </w:rPr>
      </w:pPr>
      <w:hyperlink w:anchor="_Toc42254571" w:history="1">
        <w:r w:rsidR="004B4963" w:rsidRPr="00397723">
          <w:rPr>
            <w:rStyle w:val="Hyperlink"/>
          </w:rPr>
          <w:t>Asset register and landholding dataset</w:t>
        </w:r>
        <w:r w:rsidR="004B4963">
          <w:rPr>
            <w:webHidden/>
          </w:rPr>
          <w:tab/>
        </w:r>
        <w:r w:rsidR="004B4963">
          <w:rPr>
            <w:webHidden/>
          </w:rPr>
          <w:fldChar w:fldCharType="begin"/>
        </w:r>
        <w:r w:rsidR="004B4963">
          <w:rPr>
            <w:webHidden/>
          </w:rPr>
          <w:instrText xml:space="preserve"> PAGEREF _Toc42254571 \h </w:instrText>
        </w:r>
        <w:r w:rsidR="004B4963">
          <w:rPr>
            <w:webHidden/>
          </w:rPr>
        </w:r>
        <w:r w:rsidR="004B4963">
          <w:rPr>
            <w:webHidden/>
          </w:rPr>
          <w:fldChar w:fldCharType="separate"/>
        </w:r>
        <w:r w:rsidR="004B4963">
          <w:rPr>
            <w:webHidden/>
          </w:rPr>
          <w:t>4</w:t>
        </w:r>
        <w:r w:rsidR="004B4963">
          <w:rPr>
            <w:webHidden/>
          </w:rPr>
          <w:fldChar w:fldCharType="end"/>
        </w:r>
      </w:hyperlink>
    </w:p>
    <w:p w14:paraId="09F57597" w14:textId="66FD9219" w:rsidR="004B4963" w:rsidRDefault="005640FF">
      <w:pPr>
        <w:pStyle w:val="TOC1"/>
        <w:rPr>
          <w:rFonts w:asciiTheme="minorHAnsi" w:eastAsiaTheme="minorEastAsia" w:hAnsiTheme="minorHAnsi" w:cstheme="minorBidi"/>
          <w:b w:val="0"/>
          <w:sz w:val="22"/>
          <w:szCs w:val="22"/>
          <w:lang w:eastAsia="en-AU"/>
        </w:rPr>
      </w:pPr>
      <w:hyperlink w:anchor="_Toc42254572" w:history="1">
        <w:r w:rsidR="004B4963" w:rsidRPr="00397723">
          <w:rPr>
            <w:rStyle w:val="Hyperlink"/>
          </w:rPr>
          <w:t>Part 2: Land acquisition process</w:t>
        </w:r>
        <w:r w:rsidR="004B4963">
          <w:rPr>
            <w:webHidden/>
          </w:rPr>
          <w:tab/>
        </w:r>
        <w:r w:rsidR="004B4963">
          <w:rPr>
            <w:webHidden/>
          </w:rPr>
          <w:fldChar w:fldCharType="begin"/>
        </w:r>
        <w:r w:rsidR="004B4963">
          <w:rPr>
            <w:webHidden/>
          </w:rPr>
          <w:instrText xml:space="preserve"> PAGEREF _Toc42254572 \h </w:instrText>
        </w:r>
        <w:r w:rsidR="004B4963">
          <w:rPr>
            <w:webHidden/>
          </w:rPr>
        </w:r>
        <w:r w:rsidR="004B4963">
          <w:rPr>
            <w:webHidden/>
          </w:rPr>
          <w:fldChar w:fldCharType="separate"/>
        </w:r>
        <w:r w:rsidR="004B4963">
          <w:rPr>
            <w:webHidden/>
          </w:rPr>
          <w:t>5</w:t>
        </w:r>
        <w:r w:rsidR="004B4963">
          <w:rPr>
            <w:webHidden/>
          </w:rPr>
          <w:fldChar w:fldCharType="end"/>
        </w:r>
      </w:hyperlink>
    </w:p>
    <w:p w14:paraId="28ACC7FF" w14:textId="26FA41F3" w:rsidR="004B4963" w:rsidRDefault="005640FF">
      <w:pPr>
        <w:pStyle w:val="TOC2"/>
        <w:rPr>
          <w:rFonts w:asciiTheme="minorHAnsi" w:eastAsiaTheme="minorEastAsia" w:hAnsiTheme="minorHAnsi" w:cstheme="minorBidi"/>
          <w:sz w:val="22"/>
          <w:szCs w:val="22"/>
          <w:lang w:eastAsia="en-AU"/>
        </w:rPr>
      </w:pPr>
      <w:hyperlink w:anchor="_Toc42254573" w:history="1">
        <w:r w:rsidR="004B4963" w:rsidRPr="00397723">
          <w:rPr>
            <w:rStyle w:val="Hyperlink"/>
          </w:rPr>
          <w:t>Process requirements</w:t>
        </w:r>
        <w:r w:rsidR="004B4963">
          <w:rPr>
            <w:webHidden/>
          </w:rPr>
          <w:tab/>
        </w:r>
        <w:r w:rsidR="004B4963">
          <w:rPr>
            <w:webHidden/>
          </w:rPr>
          <w:fldChar w:fldCharType="begin"/>
        </w:r>
        <w:r w:rsidR="004B4963">
          <w:rPr>
            <w:webHidden/>
          </w:rPr>
          <w:instrText xml:space="preserve"> PAGEREF _Toc42254573 \h </w:instrText>
        </w:r>
        <w:r w:rsidR="004B4963">
          <w:rPr>
            <w:webHidden/>
          </w:rPr>
        </w:r>
        <w:r w:rsidR="004B4963">
          <w:rPr>
            <w:webHidden/>
          </w:rPr>
          <w:fldChar w:fldCharType="separate"/>
        </w:r>
        <w:r w:rsidR="004B4963">
          <w:rPr>
            <w:webHidden/>
          </w:rPr>
          <w:t>5</w:t>
        </w:r>
        <w:r w:rsidR="004B4963">
          <w:rPr>
            <w:webHidden/>
          </w:rPr>
          <w:fldChar w:fldCharType="end"/>
        </w:r>
      </w:hyperlink>
    </w:p>
    <w:p w14:paraId="07814693" w14:textId="46A515D3" w:rsidR="004B4963" w:rsidRDefault="005640FF">
      <w:pPr>
        <w:pStyle w:val="TOC2"/>
        <w:rPr>
          <w:rFonts w:asciiTheme="minorHAnsi" w:eastAsiaTheme="minorEastAsia" w:hAnsiTheme="minorHAnsi" w:cstheme="minorBidi"/>
          <w:sz w:val="22"/>
          <w:szCs w:val="22"/>
          <w:lang w:eastAsia="en-AU"/>
        </w:rPr>
      </w:pPr>
      <w:hyperlink w:anchor="_Toc42254574" w:history="1">
        <w:r w:rsidR="004B4963" w:rsidRPr="00397723">
          <w:rPr>
            <w:rStyle w:val="Hyperlink"/>
            <w:rFonts w:eastAsia="MS Mincho"/>
          </w:rPr>
          <w:t>Zoning</w:t>
        </w:r>
        <w:r w:rsidR="004B4963">
          <w:rPr>
            <w:webHidden/>
          </w:rPr>
          <w:tab/>
        </w:r>
        <w:r w:rsidR="004B4963">
          <w:rPr>
            <w:webHidden/>
          </w:rPr>
          <w:fldChar w:fldCharType="begin"/>
        </w:r>
        <w:r w:rsidR="004B4963">
          <w:rPr>
            <w:webHidden/>
          </w:rPr>
          <w:instrText xml:space="preserve"> PAGEREF _Toc42254574 \h </w:instrText>
        </w:r>
        <w:r w:rsidR="004B4963">
          <w:rPr>
            <w:webHidden/>
          </w:rPr>
        </w:r>
        <w:r w:rsidR="004B4963">
          <w:rPr>
            <w:webHidden/>
          </w:rPr>
          <w:fldChar w:fldCharType="separate"/>
        </w:r>
        <w:r w:rsidR="004B4963">
          <w:rPr>
            <w:webHidden/>
          </w:rPr>
          <w:t>6</w:t>
        </w:r>
        <w:r w:rsidR="004B4963">
          <w:rPr>
            <w:webHidden/>
          </w:rPr>
          <w:fldChar w:fldCharType="end"/>
        </w:r>
      </w:hyperlink>
    </w:p>
    <w:p w14:paraId="057D2D14" w14:textId="7888907D" w:rsidR="004B4963" w:rsidRDefault="005640FF">
      <w:pPr>
        <w:pStyle w:val="TOC2"/>
        <w:rPr>
          <w:rFonts w:asciiTheme="minorHAnsi" w:eastAsiaTheme="minorEastAsia" w:hAnsiTheme="minorHAnsi" w:cstheme="minorBidi"/>
          <w:sz w:val="22"/>
          <w:szCs w:val="22"/>
          <w:lang w:eastAsia="en-AU"/>
        </w:rPr>
      </w:pPr>
      <w:hyperlink w:anchor="_Toc42254575" w:history="1">
        <w:r w:rsidR="004B4963" w:rsidRPr="00397723">
          <w:rPr>
            <w:rStyle w:val="Hyperlink"/>
          </w:rPr>
          <w:t>Land purchased or acquired for the purposes of a public cemetery</w:t>
        </w:r>
        <w:r w:rsidR="004B4963">
          <w:rPr>
            <w:webHidden/>
          </w:rPr>
          <w:tab/>
        </w:r>
        <w:r w:rsidR="004B4963">
          <w:rPr>
            <w:webHidden/>
          </w:rPr>
          <w:fldChar w:fldCharType="begin"/>
        </w:r>
        <w:r w:rsidR="004B4963">
          <w:rPr>
            <w:webHidden/>
          </w:rPr>
          <w:instrText xml:space="preserve"> PAGEREF _Toc42254575 \h </w:instrText>
        </w:r>
        <w:r w:rsidR="004B4963">
          <w:rPr>
            <w:webHidden/>
          </w:rPr>
        </w:r>
        <w:r w:rsidR="004B4963">
          <w:rPr>
            <w:webHidden/>
          </w:rPr>
          <w:fldChar w:fldCharType="separate"/>
        </w:r>
        <w:r w:rsidR="004B4963">
          <w:rPr>
            <w:webHidden/>
          </w:rPr>
          <w:t>6</w:t>
        </w:r>
        <w:r w:rsidR="004B4963">
          <w:rPr>
            <w:webHidden/>
          </w:rPr>
          <w:fldChar w:fldCharType="end"/>
        </w:r>
      </w:hyperlink>
    </w:p>
    <w:p w14:paraId="2E370A2B" w14:textId="5E2665F9" w:rsidR="004B4963" w:rsidRDefault="005640FF">
      <w:pPr>
        <w:pStyle w:val="TOC1"/>
        <w:rPr>
          <w:rFonts w:asciiTheme="minorHAnsi" w:eastAsiaTheme="minorEastAsia" w:hAnsiTheme="minorHAnsi" w:cstheme="minorBidi"/>
          <w:b w:val="0"/>
          <w:sz w:val="22"/>
          <w:szCs w:val="22"/>
          <w:lang w:eastAsia="en-AU"/>
        </w:rPr>
      </w:pPr>
      <w:hyperlink w:anchor="_Toc42254576" w:history="1">
        <w:r w:rsidR="004B4963" w:rsidRPr="00397723">
          <w:rPr>
            <w:rStyle w:val="Hyperlink"/>
          </w:rPr>
          <w:t>Part 3: Land divestment process</w:t>
        </w:r>
        <w:r w:rsidR="004B4963">
          <w:rPr>
            <w:webHidden/>
          </w:rPr>
          <w:tab/>
        </w:r>
        <w:r w:rsidR="004B4963">
          <w:rPr>
            <w:webHidden/>
          </w:rPr>
          <w:fldChar w:fldCharType="begin"/>
        </w:r>
        <w:r w:rsidR="004B4963">
          <w:rPr>
            <w:webHidden/>
          </w:rPr>
          <w:instrText xml:space="preserve"> PAGEREF _Toc42254576 \h </w:instrText>
        </w:r>
        <w:r w:rsidR="004B4963">
          <w:rPr>
            <w:webHidden/>
          </w:rPr>
        </w:r>
        <w:r w:rsidR="004B4963">
          <w:rPr>
            <w:webHidden/>
          </w:rPr>
          <w:fldChar w:fldCharType="separate"/>
        </w:r>
        <w:r w:rsidR="004B4963">
          <w:rPr>
            <w:webHidden/>
          </w:rPr>
          <w:t>8</w:t>
        </w:r>
        <w:r w:rsidR="004B4963">
          <w:rPr>
            <w:webHidden/>
          </w:rPr>
          <w:fldChar w:fldCharType="end"/>
        </w:r>
      </w:hyperlink>
    </w:p>
    <w:p w14:paraId="108DEC6A" w14:textId="2CDF75F9" w:rsidR="004B4963" w:rsidRDefault="005640FF">
      <w:pPr>
        <w:pStyle w:val="TOC2"/>
        <w:rPr>
          <w:rFonts w:asciiTheme="minorHAnsi" w:eastAsiaTheme="minorEastAsia" w:hAnsiTheme="minorHAnsi" w:cstheme="minorBidi"/>
          <w:sz w:val="22"/>
          <w:szCs w:val="22"/>
          <w:lang w:eastAsia="en-AU"/>
        </w:rPr>
      </w:pPr>
      <w:hyperlink w:anchor="_Toc42254577" w:history="1">
        <w:r w:rsidR="004B4963" w:rsidRPr="00397723">
          <w:rPr>
            <w:rStyle w:val="Hyperlink"/>
          </w:rPr>
          <w:t>Process requirements</w:t>
        </w:r>
        <w:r w:rsidR="004B4963">
          <w:rPr>
            <w:webHidden/>
          </w:rPr>
          <w:tab/>
        </w:r>
        <w:r w:rsidR="004B4963">
          <w:rPr>
            <w:webHidden/>
          </w:rPr>
          <w:fldChar w:fldCharType="begin"/>
        </w:r>
        <w:r w:rsidR="004B4963">
          <w:rPr>
            <w:webHidden/>
          </w:rPr>
          <w:instrText xml:space="preserve"> PAGEREF _Toc42254577 \h </w:instrText>
        </w:r>
        <w:r w:rsidR="004B4963">
          <w:rPr>
            <w:webHidden/>
          </w:rPr>
        </w:r>
        <w:r w:rsidR="004B4963">
          <w:rPr>
            <w:webHidden/>
          </w:rPr>
          <w:fldChar w:fldCharType="separate"/>
        </w:r>
        <w:r w:rsidR="004B4963">
          <w:rPr>
            <w:webHidden/>
          </w:rPr>
          <w:t>8</w:t>
        </w:r>
        <w:r w:rsidR="004B4963">
          <w:rPr>
            <w:webHidden/>
          </w:rPr>
          <w:fldChar w:fldCharType="end"/>
        </w:r>
      </w:hyperlink>
    </w:p>
    <w:p w14:paraId="2FB35B5A" w14:textId="573D6249" w:rsidR="004B4963" w:rsidRDefault="005640FF">
      <w:pPr>
        <w:pStyle w:val="TOC2"/>
        <w:rPr>
          <w:rFonts w:asciiTheme="minorHAnsi" w:eastAsiaTheme="minorEastAsia" w:hAnsiTheme="minorHAnsi" w:cstheme="minorBidi"/>
          <w:sz w:val="22"/>
          <w:szCs w:val="22"/>
          <w:lang w:eastAsia="en-AU"/>
        </w:rPr>
      </w:pPr>
      <w:hyperlink w:anchor="_Toc42254578" w:history="1">
        <w:r w:rsidR="004B4963" w:rsidRPr="00397723">
          <w:rPr>
            <w:rStyle w:val="Hyperlink"/>
          </w:rPr>
          <w:t>Crown land divestment process</w:t>
        </w:r>
        <w:r w:rsidR="004B4963">
          <w:rPr>
            <w:webHidden/>
          </w:rPr>
          <w:tab/>
        </w:r>
        <w:r w:rsidR="004B4963">
          <w:rPr>
            <w:webHidden/>
          </w:rPr>
          <w:fldChar w:fldCharType="begin"/>
        </w:r>
        <w:r w:rsidR="004B4963">
          <w:rPr>
            <w:webHidden/>
          </w:rPr>
          <w:instrText xml:space="preserve"> PAGEREF _Toc42254578 \h </w:instrText>
        </w:r>
        <w:r w:rsidR="004B4963">
          <w:rPr>
            <w:webHidden/>
          </w:rPr>
        </w:r>
        <w:r w:rsidR="004B4963">
          <w:rPr>
            <w:webHidden/>
          </w:rPr>
          <w:fldChar w:fldCharType="separate"/>
        </w:r>
        <w:r w:rsidR="004B4963">
          <w:rPr>
            <w:webHidden/>
          </w:rPr>
          <w:t>9</w:t>
        </w:r>
        <w:r w:rsidR="004B4963">
          <w:rPr>
            <w:webHidden/>
          </w:rPr>
          <w:fldChar w:fldCharType="end"/>
        </w:r>
      </w:hyperlink>
    </w:p>
    <w:p w14:paraId="0EC4520E" w14:textId="7BA24390" w:rsidR="004B4963" w:rsidRDefault="005640FF">
      <w:pPr>
        <w:pStyle w:val="TOC1"/>
        <w:rPr>
          <w:rFonts w:asciiTheme="minorHAnsi" w:eastAsiaTheme="minorEastAsia" w:hAnsiTheme="minorHAnsi" w:cstheme="minorBidi"/>
          <w:b w:val="0"/>
          <w:sz w:val="22"/>
          <w:szCs w:val="22"/>
          <w:lang w:eastAsia="en-AU"/>
        </w:rPr>
      </w:pPr>
      <w:hyperlink w:anchor="_Toc42254579" w:history="1">
        <w:r w:rsidR="004B4963" w:rsidRPr="00397723">
          <w:rPr>
            <w:rStyle w:val="Hyperlink"/>
          </w:rPr>
          <w:t>Part 4: Land tenures</w:t>
        </w:r>
        <w:r w:rsidR="004B4963">
          <w:rPr>
            <w:webHidden/>
          </w:rPr>
          <w:tab/>
        </w:r>
        <w:r w:rsidR="004B4963">
          <w:rPr>
            <w:webHidden/>
          </w:rPr>
          <w:fldChar w:fldCharType="begin"/>
        </w:r>
        <w:r w:rsidR="004B4963">
          <w:rPr>
            <w:webHidden/>
          </w:rPr>
          <w:instrText xml:space="preserve"> PAGEREF _Toc42254579 \h </w:instrText>
        </w:r>
        <w:r w:rsidR="004B4963">
          <w:rPr>
            <w:webHidden/>
          </w:rPr>
        </w:r>
        <w:r w:rsidR="004B4963">
          <w:rPr>
            <w:webHidden/>
          </w:rPr>
          <w:fldChar w:fldCharType="separate"/>
        </w:r>
        <w:r w:rsidR="004B4963">
          <w:rPr>
            <w:webHidden/>
          </w:rPr>
          <w:t>10</w:t>
        </w:r>
        <w:r w:rsidR="004B4963">
          <w:rPr>
            <w:webHidden/>
          </w:rPr>
          <w:fldChar w:fldCharType="end"/>
        </w:r>
      </w:hyperlink>
    </w:p>
    <w:p w14:paraId="1C8CAC12" w14:textId="7AD88386" w:rsidR="004B4963" w:rsidRDefault="005640FF">
      <w:pPr>
        <w:pStyle w:val="TOC2"/>
        <w:rPr>
          <w:rFonts w:asciiTheme="minorHAnsi" w:eastAsiaTheme="minorEastAsia" w:hAnsiTheme="minorHAnsi" w:cstheme="minorBidi"/>
          <w:sz w:val="22"/>
          <w:szCs w:val="22"/>
          <w:lang w:eastAsia="en-AU"/>
        </w:rPr>
      </w:pPr>
      <w:hyperlink w:anchor="_Toc42254580" w:history="1">
        <w:r w:rsidR="004B4963" w:rsidRPr="00397723">
          <w:rPr>
            <w:rStyle w:val="Hyperlink"/>
          </w:rPr>
          <w:t>Freehold land – occupation and use</w:t>
        </w:r>
        <w:r w:rsidR="004B4963">
          <w:rPr>
            <w:webHidden/>
          </w:rPr>
          <w:tab/>
        </w:r>
        <w:r w:rsidR="004B4963">
          <w:rPr>
            <w:webHidden/>
          </w:rPr>
          <w:fldChar w:fldCharType="begin"/>
        </w:r>
        <w:r w:rsidR="004B4963">
          <w:rPr>
            <w:webHidden/>
          </w:rPr>
          <w:instrText xml:space="preserve"> PAGEREF _Toc42254580 \h </w:instrText>
        </w:r>
        <w:r w:rsidR="004B4963">
          <w:rPr>
            <w:webHidden/>
          </w:rPr>
        </w:r>
        <w:r w:rsidR="004B4963">
          <w:rPr>
            <w:webHidden/>
          </w:rPr>
          <w:fldChar w:fldCharType="separate"/>
        </w:r>
        <w:r w:rsidR="004B4963">
          <w:rPr>
            <w:webHidden/>
          </w:rPr>
          <w:t>10</w:t>
        </w:r>
        <w:r w:rsidR="004B4963">
          <w:rPr>
            <w:webHidden/>
          </w:rPr>
          <w:fldChar w:fldCharType="end"/>
        </w:r>
      </w:hyperlink>
    </w:p>
    <w:p w14:paraId="5BB1DEDE" w14:textId="333E44E0" w:rsidR="004B4963" w:rsidRDefault="005640FF">
      <w:pPr>
        <w:pStyle w:val="TOC2"/>
        <w:rPr>
          <w:rFonts w:asciiTheme="minorHAnsi" w:eastAsiaTheme="minorEastAsia" w:hAnsiTheme="minorHAnsi" w:cstheme="minorBidi"/>
          <w:sz w:val="22"/>
          <w:szCs w:val="22"/>
          <w:lang w:eastAsia="en-AU"/>
        </w:rPr>
      </w:pPr>
      <w:hyperlink w:anchor="_Toc42254581" w:history="1">
        <w:r w:rsidR="004B4963" w:rsidRPr="00397723">
          <w:rPr>
            <w:rStyle w:val="Hyperlink"/>
          </w:rPr>
          <w:t>Crown land – temporary and permanent reservations</w:t>
        </w:r>
        <w:r w:rsidR="004B4963">
          <w:rPr>
            <w:webHidden/>
          </w:rPr>
          <w:tab/>
        </w:r>
        <w:r w:rsidR="004B4963">
          <w:rPr>
            <w:webHidden/>
          </w:rPr>
          <w:fldChar w:fldCharType="begin"/>
        </w:r>
        <w:r w:rsidR="004B4963">
          <w:rPr>
            <w:webHidden/>
          </w:rPr>
          <w:instrText xml:space="preserve"> PAGEREF _Toc42254581 \h </w:instrText>
        </w:r>
        <w:r w:rsidR="004B4963">
          <w:rPr>
            <w:webHidden/>
          </w:rPr>
        </w:r>
        <w:r w:rsidR="004B4963">
          <w:rPr>
            <w:webHidden/>
          </w:rPr>
          <w:fldChar w:fldCharType="separate"/>
        </w:r>
        <w:r w:rsidR="004B4963">
          <w:rPr>
            <w:webHidden/>
          </w:rPr>
          <w:t>10</w:t>
        </w:r>
        <w:r w:rsidR="004B4963">
          <w:rPr>
            <w:webHidden/>
          </w:rPr>
          <w:fldChar w:fldCharType="end"/>
        </w:r>
      </w:hyperlink>
    </w:p>
    <w:p w14:paraId="51BFCA8E" w14:textId="2AD6E7DC" w:rsidR="004B4963" w:rsidRDefault="005640FF">
      <w:pPr>
        <w:pStyle w:val="TOC2"/>
        <w:rPr>
          <w:rFonts w:asciiTheme="minorHAnsi" w:eastAsiaTheme="minorEastAsia" w:hAnsiTheme="minorHAnsi" w:cstheme="minorBidi"/>
          <w:sz w:val="22"/>
          <w:szCs w:val="22"/>
          <w:lang w:eastAsia="en-AU"/>
        </w:rPr>
      </w:pPr>
      <w:hyperlink w:anchor="_Toc42254582" w:history="1">
        <w:r w:rsidR="004B4963" w:rsidRPr="00397723">
          <w:rPr>
            <w:rStyle w:val="Hyperlink"/>
          </w:rPr>
          <w:t>Cemetery land occupation and use</w:t>
        </w:r>
        <w:r w:rsidR="004B4963">
          <w:rPr>
            <w:webHidden/>
          </w:rPr>
          <w:tab/>
        </w:r>
        <w:r w:rsidR="004B4963">
          <w:rPr>
            <w:webHidden/>
          </w:rPr>
          <w:fldChar w:fldCharType="begin"/>
        </w:r>
        <w:r w:rsidR="004B4963">
          <w:rPr>
            <w:webHidden/>
          </w:rPr>
          <w:instrText xml:space="preserve"> PAGEREF _Toc42254582 \h </w:instrText>
        </w:r>
        <w:r w:rsidR="004B4963">
          <w:rPr>
            <w:webHidden/>
          </w:rPr>
        </w:r>
        <w:r w:rsidR="004B4963">
          <w:rPr>
            <w:webHidden/>
          </w:rPr>
          <w:fldChar w:fldCharType="separate"/>
        </w:r>
        <w:r w:rsidR="004B4963">
          <w:rPr>
            <w:webHidden/>
          </w:rPr>
          <w:t>10</w:t>
        </w:r>
        <w:r w:rsidR="004B4963">
          <w:rPr>
            <w:webHidden/>
          </w:rPr>
          <w:fldChar w:fldCharType="end"/>
        </w:r>
      </w:hyperlink>
    </w:p>
    <w:p w14:paraId="45CA969B" w14:textId="428BB984" w:rsidR="004B4963" w:rsidRDefault="005640FF">
      <w:pPr>
        <w:pStyle w:val="TOC1"/>
        <w:rPr>
          <w:rFonts w:asciiTheme="minorHAnsi" w:eastAsiaTheme="minorEastAsia" w:hAnsiTheme="minorHAnsi" w:cstheme="minorBidi"/>
          <w:b w:val="0"/>
          <w:sz w:val="22"/>
          <w:szCs w:val="22"/>
          <w:lang w:eastAsia="en-AU"/>
        </w:rPr>
      </w:pPr>
      <w:hyperlink w:anchor="_Toc42254583" w:history="1">
        <w:r w:rsidR="004B4963" w:rsidRPr="00397723">
          <w:rPr>
            <w:rStyle w:val="Hyperlink"/>
          </w:rPr>
          <w:t>Part 5: Leasing and licensing process</w:t>
        </w:r>
        <w:r w:rsidR="004B4963">
          <w:rPr>
            <w:webHidden/>
          </w:rPr>
          <w:tab/>
        </w:r>
        <w:r w:rsidR="004B4963">
          <w:rPr>
            <w:webHidden/>
          </w:rPr>
          <w:fldChar w:fldCharType="begin"/>
        </w:r>
        <w:r w:rsidR="004B4963">
          <w:rPr>
            <w:webHidden/>
          </w:rPr>
          <w:instrText xml:space="preserve"> PAGEREF _Toc42254583 \h </w:instrText>
        </w:r>
        <w:r w:rsidR="004B4963">
          <w:rPr>
            <w:webHidden/>
          </w:rPr>
        </w:r>
        <w:r w:rsidR="004B4963">
          <w:rPr>
            <w:webHidden/>
          </w:rPr>
          <w:fldChar w:fldCharType="separate"/>
        </w:r>
        <w:r w:rsidR="004B4963">
          <w:rPr>
            <w:webHidden/>
          </w:rPr>
          <w:t>11</w:t>
        </w:r>
        <w:r w:rsidR="004B4963">
          <w:rPr>
            <w:webHidden/>
          </w:rPr>
          <w:fldChar w:fldCharType="end"/>
        </w:r>
      </w:hyperlink>
    </w:p>
    <w:p w14:paraId="08009D2A" w14:textId="2159F17C" w:rsidR="004B4963" w:rsidRDefault="005640FF">
      <w:pPr>
        <w:pStyle w:val="TOC2"/>
        <w:rPr>
          <w:rFonts w:asciiTheme="minorHAnsi" w:eastAsiaTheme="minorEastAsia" w:hAnsiTheme="minorHAnsi" w:cstheme="minorBidi"/>
          <w:sz w:val="22"/>
          <w:szCs w:val="22"/>
          <w:lang w:eastAsia="en-AU"/>
        </w:rPr>
      </w:pPr>
      <w:hyperlink w:anchor="_Toc42254584" w:history="1">
        <w:r w:rsidR="004B4963" w:rsidRPr="00397723">
          <w:rPr>
            <w:rStyle w:val="Hyperlink"/>
          </w:rPr>
          <w:t>Crown land</w:t>
        </w:r>
        <w:r w:rsidR="004B4963">
          <w:rPr>
            <w:webHidden/>
          </w:rPr>
          <w:tab/>
        </w:r>
        <w:r w:rsidR="004B4963">
          <w:rPr>
            <w:webHidden/>
          </w:rPr>
          <w:fldChar w:fldCharType="begin"/>
        </w:r>
        <w:r w:rsidR="004B4963">
          <w:rPr>
            <w:webHidden/>
          </w:rPr>
          <w:instrText xml:space="preserve"> PAGEREF _Toc42254584 \h </w:instrText>
        </w:r>
        <w:r w:rsidR="004B4963">
          <w:rPr>
            <w:webHidden/>
          </w:rPr>
        </w:r>
        <w:r w:rsidR="004B4963">
          <w:rPr>
            <w:webHidden/>
          </w:rPr>
          <w:fldChar w:fldCharType="separate"/>
        </w:r>
        <w:r w:rsidR="004B4963">
          <w:rPr>
            <w:webHidden/>
          </w:rPr>
          <w:t>11</w:t>
        </w:r>
        <w:r w:rsidR="004B4963">
          <w:rPr>
            <w:webHidden/>
          </w:rPr>
          <w:fldChar w:fldCharType="end"/>
        </w:r>
      </w:hyperlink>
    </w:p>
    <w:p w14:paraId="1A9A1A78" w14:textId="2D034FB3" w:rsidR="004B4963" w:rsidRDefault="005640FF">
      <w:pPr>
        <w:pStyle w:val="TOC2"/>
        <w:rPr>
          <w:rFonts w:asciiTheme="minorHAnsi" w:eastAsiaTheme="minorEastAsia" w:hAnsiTheme="minorHAnsi" w:cstheme="minorBidi"/>
          <w:sz w:val="22"/>
          <w:szCs w:val="22"/>
          <w:lang w:eastAsia="en-AU"/>
        </w:rPr>
      </w:pPr>
      <w:hyperlink w:anchor="_Toc42254585" w:history="1">
        <w:r w:rsidR="004B4963" w:rsidRPr="00397723">
          <w:rPr>
            <w:rStyle w:val="Hyperlink"/>
          </w:rPr>
          <w:t>Freehold land – Retail Tenancies Act</w:t>
        </w:r>
        <w:r w:rsidR="004B4963">
          <w:rPr>
            <w:webHidden/>
          </w:rPr>
          <w:tab/>
        </w:r>
        <w:r w:rsidR="004B4963">
          <w:rPr>
            <w:webHidden/>
          </w:rPr>
          <w:fldChar w:fldCharType="begin"/>
        </w:r>
        <w:r w:rsidR="004B4963">
          <w:rPr>
            <w:webHidden/>
          </w:rPr>
          <w:instrText xml:space="preserve"> PAGEREF _Toc42254585 \h </w:instrText>
        </w:r>
        <w:r w:rsidR="004B4963">
          <w:rPr>
            <w:webHidden/>
          </w:rPr>
        </w:r>
        <w:r w:rsidR="004B4963">
          <w:rPr>
            <w:webHidden/>
          </w:rPr>
          <w:fldChar w:fldCharType="separate"/>
        </w:r>
        <w:r w:rsidR="004B4963">
          <w:rPr>
            <w:webHidden/>
          </w:rPr>
          <w:t>11</w:t>
        </w:r>
        <w:r w:rsidR="004B4963">
          <w:rPr>
            <w:webHidden/>
          </w:rPr>
          <w:fldChar w:fldCharType="end"/>
        </w:r>
      </w:hyperlink>
    </w:p>
    <w:p w14:paraId="24F628A4" w14:textId="1ACC1CB3" w:rsidR="004B4963" w:rsidRDefault="005640FF">
      <w:pPr>
        <w:pStyle w:val="TOC2"/>
        <w:rPr>
          <w:rFonts w:asciiTheme="minorHAnsi" w:eastAsiaTheme="minorEastAsia" w:hAnsiTheme="minorHAnsi" w:cstheme="minorBidi"/>
          <w:sz w:val="22"/>
          <w:szCs w:val="22"/>
          <w:lang w:eastAsia="en-AU"/>
        </w:rPr>
      </w:pPr>
      <w:hyperlink w:anchor="_Toc42254586" w:history="1">
        <w:r w:rsidR="004B4963" w:rsidRPr="00397723">
          <w:rPr>
            <w:rStyle w:val="Hyperlink"/>
          </w:rPr>
          <w:t>Process requirements</w:t>
        </w:r>
        <w:r w:rsidR="004B4963">
          <w:rPr>
            <w:webHidden/>
          </w:rPr>
          <w:tab/>
        </w:r>
        <w:r w:rsidR="004B4963">
          <w:rPr>
            <w:webHidden/>
          </w:rPr>
          <w:fldChar w:fldCharType="begin"/>
        </w:r>
        <w:r w:rsidR="004B4963">
          <w:rPr>
            <w:webHidden/>
          </w:rPr>
          <w:instrText xml:space="preserve"> PAGEREF _Toc42254586 \h </w:instrText>
        </w:r>
        <w:r w:rsidR="004B4963">
          <w:rPr>
            <w:webHidden/>
          </w:rPr>
        </w:r>
        <w:r w:rsidR="004B4963">
          <w:rPr>
            <w:webHidden/>
          </w:rPr>
          <w:fldChar w:fldCharType="separate"/>
        </w:r>
        <w:r w:rsidR="004B4963">
          <w:rPr>
            <w:webHidden/>
          </w:rPr>
          <w:t>12</w:t>
        </w:r>
        <w:r w:rsidR="004B4963">
          <w:rPr>
            <w:webHidden/>
          </w:rPr>
          <w:fldChar w:fldCharType="end"/>
        </w:r>
      </w:hyperlink>
    </w:p>
    <w:p w14:paraId="1281D427" w14:textId="63EBF9CA" w:rsidR="004B4963" w:rsidRDefault="005640FF">
      <w:pPr>
        <w:pStyle w:val="TOC2"/>
        <w:rPr>
          <w:rFonts w:asciiTheme="minorHAnsi" w:eastAsiaTheme="minorEastAsia" w:hAnsiTheme="minorHAnsi" w:cstheme="minorBidi"/>
          <w:sz w:val="22"/>
          <w:szCs w:val="22"/>
          <w:lang w:eastAsia="en-AU"/>
        </w:rPr>
      </w:pPr>
      <w:hyperlink w:anchor="_Toc42254587" w:history="1">
        <w:r w:rsidR="004B4963" w:rsidRPr="00397723">
          <w:rPr>
            <w:rStyle w:val="Hyperlink"/>
          </w:rPr>
          <w:t>Lease and licences by cemetery trusts</w:t>
        </w:r>
        <w:r w:rsidR="004B4963">
          <w:rPr>
            <w:webHidden/>
          </w:rPr>
          <w:tab/>
        </w:r>
        <w:r w:rsidR="004B4963">
          <w:rPr>
            <w:webHidden/>
          </w:rPr>
          <w:fldChar w:fldCharType="begin"/>
        </w:r>
        <w:r w:rsidR="004B4963">
          <w:rPr>
            <w:webHidden/>
          </w:rPr>
          <w:instrText xml:space="preserve"> PAGEREF _Toc42254587 \h </w:instrText>
        </w:r>
        <w:r w:rsidR="004B4963">
          <w:rPr>
            <w:webHidden/>
          </w:rPr>
        </w:r>
        <w:r w:rsidR="004B4963">
          <w:rPr>
            <w:webHidden/>
          </w:rPr>
          <w:fldChar w:fldCharType="separate"/>
        </w:r>
        <w:r w:rsidR="004B4963">
          <w:rPr>
            <w:webHidden/>
          </w:rPr>
          <w:t>13</w:t>
        </w:r>
        <w:r w:rsidR="004B4963">
          <w:rPr>
            <w:webHidden/>
          </w:rPr>
          <w:fldChar w:fldCharType="end"/>
        </w:r>
      </w:hyperlink>
    </w:p>
    <w:p w14:paraId="19B494F7" w14:textId="53D90523" w:rsidR="004B4963" w:rsidRDefault="005640FF">
      <w:pPr>
        <w:pStyle w:val="TOC1"/>
        <w:rPr>
          <w:rFonts w:asciiTheme="minorHAnsi" w:eastAsiaTheme="minorEastAsia" w:hAnsiTheme="minorHAnsi" w:cstheme="minorBidi"/>
          <w:b w:val="0"/>
          <w:sz w:val="22"/>
          <w:szCs w:val="22"/>
          <w:lang w:eastAsia="en-AU"/>
        </w:rPr>
      </w:pPr>
      <w:hyperlink w:anchor="_Toc42254588" w:history="1">
        <w:r w:rsidR="004B4963" w:rsidRPr="00397723">
          <w:rPr>
            <w:rStyle w:val="Hyperlink"/>
          </w:rPr>
          <w:t>Part 6: Maintenance obligations</w:t>
        </w:r>
        <w:r w:rsidR="004B4963">
          <w:rPr>
            <w:webHidden/>
          </w:rPr>
          <w:tab/>
        </w:r>
        <w:r w:rsidR="004B4963">
          <w:rPr>
            <w:webHidden/>
          </w:rPr>
          <w:fldChar w:fldCharType="begin"/>
        </w:r>
        <w:r w:rsidR="004B4963">
          <w:rPr>
            <w:webHidden/>
          </w:rPr>
          <w:instrText xml:space="preserve"> PAGEREF _Toc42254588 \h </w:instrText>
        </w:r>
        <w:r w:rsidR="004B4963">
          <w:rPr>
            <w:webHidden/>
          </w:rPr>
        </w:r>
        <w:r w:rsidR="004B4963">
          <w:rPr>
            <w:webHidden/>
          </w:rPr>
          <w:fldChar w:fldCharType="separate"/>
        </w:r>
        <w:r w:rsidR="004B4963">
          <w:rPr>
            <w:webHidden/>
          </w:rPr>
          <w:t>15</w:t>
        </w:r>
        <w:r w:rsidR="004B4963">
          <w:rPr>
            <w:webHidden/>
          </w:rPr>
          <w:fldChar w:fldCharType="end"/>
        </w:r>
      </w:hyperlink>
    </w:p>
    <w:p w14:paraId="3FC3956E" w14:textId="360625DA" w:rsidR="004B4963" w:rsidRDefault="005640FF">
      <w:pPr>
        <w:pStyle w:val="TOC2"/>
        <w:rPr>
          <w:rFonts w:asciiTheme="minorHAnsi" w:eastAsiaTheme="minorEastAsia" w:hAnsiTheme="minorHAnsi" w:cstheme="minorBidi"/>
          <w:sz w:val="22"/>
          <w:szCs w:val="22"/>
          <w:lang w:eastAsia="en-AU"/>
        </w:rPr>
      </w:pPr>
      <w:hyperlink w:anchor="_Toc42254589" w:history="1">
        <w:r w:rsidR="004B4963" w:rsidRPr="00397723">
          <w:rPr>
            <w:rStyle w:val="Hyperlink"/>
          </w:rPr>
          <w:t>Operational maintenance</w:t>
        </w:r>
        <w:r w:rsidR="004B4963">
          <w:rPr>
            <w:webHidden/>
          </w:rPr>
          <w:tab/>
        </w:r>
        <w:r w:rsidR="004B4963">
          <w:rPr>
            <w:webHidden/>
          </w:rPr>
          <w:fldChar w:fldCharType="begin"/>
        </w:r>
        <w:r w:rsidR="004B4963">
          <w:rPr>
            <w:webHidden/>
          </w:rPr>
          <w:instrText xml:space="preserve"> PAGEREF _Toc42254589 \h </w:instrText>
        </w:r>
        <w:r w:rsidR="004B4963">
          <w:rPr>
            <w:webHidden/>
          </w:rPr>
        </w:r>
        <w:r w:rsidR="004B4963">
          <w:rPr>
            <w:webHidden/>
          </w:rPr>
          <w:fldChar w:fldCharType="separate"/>
        </w:r>
        <w:r w:rsidR="004B4963">
          <w:rPr>
            <w:webHidden/>
          </w:rPr>
          <w:t>15</w:t>
        </w:r>
        <w:r w:rsidR="004B4963">
          <w:rPr>
            <w:webHidden/>
          </w:rPr>
          <w:fldChar w:fldCharType="end"/>
        </w:r>
      </w:hyperlink>
    </w:p>
    <w:p w14:paraId="4D4884A9" w14:textId="175BA6E6" w:rsidR="004B4963" w:rsidRDefault="005640FF">
      <w:pPr>
        <w:pStyle w:val="TOC2"/>
        <w:rPr>
          <w:rFonts w:asciiTheme="minorHAnsi" w:eastAsiaTheme="minorEastAsia" w:hAnsiTheme="minorHAnsi" w:cstheme="minorBidi"/>
          <w:sz w:val="22"/>
          <w:szCs w:val="22"/>
          <w:lang w:eastAsia="en-AU"/>
        </w:rPr>
      </w:pPr>
      <w:hyperlink w:anchor="_Toc42254590" w:history="1">
        <w:r w:rsidR="004B4963" w:rsidRPr="00397723">
          <w:rPr>
            <w:rStyle w:val="Hyperlink"/>
          </w:rPr>
          <w:t>Maintenance – surplus assets</w:t>
        </w:r>
        <w:r w:rsidR="004B4963">
          <w:rPr>
            <w:webHidden/>
          </w:rPr>
          <w:tab/>
        </w:r>
        <w:r w:rsidR="004B4963">
          <w:rPr>
            <w:webHidden/>
          </w:rPr>
          <w:fldChar w:fldCharType="begin"/>
        </w:r>
        <w:r w:rsidR="004B4963">
          <w:rPr>
            <w:webHidden/>
          </w:rPr>
          <w:instrText xml:space="preserve"> PAGEREF _Toc42254590 \h </w:instrText>
        </w:r>
        <w:r w:rsidR="004B4963">
          <w:rPr>
            <w:webHidden/>
          </w:rPr>
        </w:r>
        <w:r w:rsidR="004B4963">
          <w:rPr>
            <w:webHidden/>
          </w:rPr>
          <w:fldChar w:fldCharType="separate"/>
        </w:r>
        <w:r w:rsidR="004B4963">
          <w:rPr>
            <w:webHidden/>
          </w:rPr>
          <w:t>15</w:t>
        </w:r>
        <w:r w:rsidR="004B4963">
          <w:rPr>
            <w:webHidden/>
          </w:rPr>
          <w:fldChar w:fldCharType="end"/>
        </w:r>
      </w:hyperlink>
    </w:p>
    <w:p w14:paraId="72163037" w14:textId="0FD7126B" w:rsidR="004B4963" w:rsidRDefault="005640FF">
      <w:pPr>
        <w:pStyle w:val="TOC1"/>
        <w:rPr>
          <w:rFonts w:asciiTheme="minorHAnsi" w:eastAsiaTheme="minorEastAsia" w:hAnsiTheme="minorHAnsi" w:cstheme="minorBidi"/>
          <w:b w:val="0"/>
          <w:sz w:val="22"/>
          <w:szCs w:val="22"/>
          <w:lang w:eastAsia="en-AU"/>
        </w:rPr>
      </w:pPr>
      <w:hyperlink w:anchor="_Toc42254591" w:history="1">
        <w:r w:rsidR="004B4963" w:rsidRPr="00397723">
          <w:rPr>
            <w:rStyle w:val="Hyperlink"/>
          </w:rPr>
          <w:t>Appendix 1: Key legislation</w:t>
        </w:r>
        <w:r w:rsidR="004B4963">
          <w:rPr>
            <w:webHidden/>
          </w:rPr>
          <w:tab/>
        </w:r>
        <w:r w:rsidR="004B4963">
          <w:rPr>
            <w:webHidden/>
          </w:rPr>
          <w:fldChar w:fldCharType="begin"/>
        </w:r>
        <w:r w:rsidR="004B4963">
          <w:rPr>
            <w:webHidden/>
          </w:rPr>
          <w:instrText xml:space="preserve"> PAGEREF _Toc42254591 \h </w:instrText>
        </w:r>
        <w:r w:rsidR="004B4963">
          <w:rPr>
            <w:webHidden/>
          </w:rPr>
        </w:r>
        <w:r w:rsidR="004B4963">
          <w:rPr>
            <w:webHidden/>
          </w:rPr>
          <w:fldChar w:fldCharType="separate"/>
        </w:r>
        <w:r w:rsidR="004B4963">
          <w:rPr>
            <w:webHidden/>
          </w:rPr>
          <w:t>17</w:t>
        </w:r>
        <w:r w:rsidR="004B4963">
          <w:rPr>
            <w:webHidden/>
          </w:rPr>
          <w:fldChar w:fldCharType="end"/>
        </w:r>
      </w:hyperlink>
    </w:p>
    <w:p w14:paraId="5844B29A" w14:textId="3E872B24" w:rsidR="004B4963" w:rsidRDefault="005640FF">
      <w:pPr>
        <w:pStyle w:val="TOC1"/>
        <w:rPr>
          <w:rFonts w:asciiTheme="minorHAnsi" w:eastAsiaTheme="minorEastAsia" w:hAnsiTheme="minorHAnsi" w:cstheme="minorBidi"/>
          <w:b w:val="0"/>
          <w:sz w:val="22"/>
          <w:szCs w:val="22"/>
          <w:lang w:eastAsia="en-AU"/>
        </w:rPr>
      </w:pPr>
      <w:hyperlink w:anchor="_Toc42254592" w:history="1">
        <w:r w:rsidR="004B4963" w:rsidRPr="00397723">
          <w:rPr>
            <w:rStyle w:val="Hyperlink"/>
          </w:rPr>
          <w:t>Appendix 2: Key service providers</w:t>
        </w:r>
        <w:r w:rsidR="004B4963">
          <w:rPr>
            <w:webHidden/>
          </w:rPr>
          <w:tab/>
        </w:r>
        <w:r w:rsidR="004B4963">
          <w:rPr>
            <w:webHidden/>
          </w:rPr>
          <w:fldChar w:fldCharType="begin"/>
        </w:r>
        <w:r w:rsidR="004B4963">
          <w:rPr>
            <w:webHidden/>
          </w:rPr>
          <w:instrText xml:space="preserve"> PAGEREF _Toc42254592 \h </w:instrText>
        </w:r>
        <w:r w:rsidR="004B4963">
          <w:rPr>
            <w:webHidden/>
          </w:rPr>
        </w:r>
        <w:r w:rsidR="004B4963">
          <w:rPr>
            <w:webHidden/>
          </w:rPr>
          <w:fldChar w:fldCharType="separate"/>
        </w:r>
        <w:r w:rsidR="004B4963">
          <w:rPr>
            <w:webHidden/>
          </w:rPr>
          <w:t>19</w:t>
        </w:r>
        <w:r w:rsidR="004B4963">
          <w:rPr>
            <w:webHidden/>
          </w:rPr>
          <w:fldChar w:fldCharType="end"/>
        </w:r>
      </w:hyperlink>
    </w:p>
    <w:p w14:paraId="5E84AB44" w14:textId="6F73AA95" w:rsidR="004B4963" w:rsidRDefault="005640FF">
      <w:pPr>
        <w:pStyle w:val="TOC1"/>
        <w:rPr>
          <w:rFonts w:asciiTheme="minorHAnsi" w:eastAsiaTheme="minorEastAsia" w:hAnsiTheme="minorHAnsi" w:cstheme="minorBidi"/>
          <w:b w:val="0"/>
          <w:sz w:val="22"/>
          <w:szCs w:val="22"/>
          <w:lang w:eastAsia="en-AU"/>
        </w:rPr>
      </w:pPr>
      <w:hyperlink w:anchor="_Toc42254593" w:history="1">
        <w:r w:rsidR="004B4963" w:rsidRPr="00397723">
          <w:rPr>
            <w:rStyle w:val="Hyperlink"/>
          </w:rPr>
          <w:t>Appendix 3: Acquisition checklist</w:t>
        </w:r>
        <w:r w:rsidR="004B4963">
          <w:rPr>
            <w:webHidden/>
          </w:rPr>
          <w:tab/>
        </w:r>
        <w:r w:rsidR="004B4963">
          <w:rPr>
            <w:webHidden/>
          </w:rPr>
          <w:fldChar w:fldCharType="begin"/>
        </w:r>
        <w:r w:rsidR="004B4963">
          <w:rPr>
            <w:webHidden/>
          </w:rPr>
          <w:instrText xml:space="preserve"> PAGEREF _Toc42254593 \h </w:instrText>
        </w:r>
        <w:r w:rsidR="004B4963">
          <w:rPr>
            <w:webHidden/>
          </w:rPr>
        </w:r>
        <w:r w:rsidR="004B4963">
          <w:rPr>
            <w:webHidden/>
          </w:rPr>
          <w:fldChar w:fldCharType="separate"/>
        </w:r>
        <w:r w:rsidR="004B4963">
          <w:rPr>
            <w:webHidden/>
          </w:rPr>
          <w:t>21</w:t>
        </w:r>
        <w:r w:rsidR="004B4963">
          <w:rPr>
            <w:webHidden/>
          </w:rPr>
          <w:fldChar w:fldCharType="end"/>
        </w:r>
      </w:hyperlink>
    </w:p>
    <w:p w14:paraId="22AB2A12" w14:textId="3865225D" w:rsidR="004B4963" w:rsidRDefault="005640FF">
      <w:pPr>
        <w:pStyle w:val="TOC1"/>
        <w:rPr>
          <w:rFonts w:asciiTheme="minorHAnsi" w:eastAsiaTheme="minorEastAsia" w:hAnsiTheme="minorHAnsi" w:cstheme="minorBidi"/>
          <w:b w:val="0"/>
          <w:sz w:val="22"/>
          <w:szCs w:val="22"/>
          <w:lang w:eastAsia="en-AU"/>
        </w:rPr>
      </w:pPr>
      <w:hyperlink w:anchor="_Toc42254594" w:history="1">
        <w:r w:rsidR="004B4963" w:rsidRPr="00397723">
          <w:rPr>
            <w:rStyle w:val="Hyperlink"/>
          </w:rPr>
          <w:t>Appendix 4: Divestment checklist</w:t>
        </w:r>
        <w:r w:rsidR="004B4963">
          <w:rPr>
            <w:webHidden/>
          </w:rPr>
          <w:tab/>
        </w:r>
        <w:r w:rsidR="004B4963">
          <w:rPr>
            <w:webHidden/>
          </w:rPr>
          <w:fldChar w:fldCharType="begin"/>
        </w:r>
        <w:r w:rsidR="004B4963">
          <w:rPr>
            <w:webHidden/>
          </w:rPr>
          <w:instrText xml:space="preserve"> PAGEREF _Toc42254594 \h </w:instrText>
        </w:r>
        <w:r w:rsidR="004B4963">
          <w:rPr>
            <w:webHidden/>
          </w:rPr>
        </w:r>
        <w:r w:rsidR="004B4963">
          <w:rPr>
            <w:webHidden/>
          </w:rPr>
          <w:fldChar w:fldCharType="separate"/>
        </w:r>
        <w:r w:rsidR="004B4963">
          <w:rPr>
            <w:webHidden/>
          </w:rPr>
          <w:t>27</w:t>
        </w:r>
        <w:r w:rsidR="004B4963">
          <w:rPr>
            <w:webHidden/>
          </w:rPr>
          <w:fldChar w:fldCharType="end"/>
        </w:r>
      </w:hyperlink>
    </w:p>
    <w:p w14:paraId="1B79AA44" w14:textId="51CAD8FE" w:rsidR="004B4963" w:rsidRDefault="005640FF">
      <w:pPr>
        <w:pStyle w:val="TOC1"/>
        <w:rPr>
          <w:rFonts w:asciiTheme="minorHAnsi" w:eastAsiaTheme="minorEastAsia" w:hAnsiTheme="minorHAnsi" w:cstheme="minorBidi"/>
          <w:b w:val="0"/>
          <w:sz w:val="22"/>
          <w:szCs w:val="22"/>
          <w:lang w:eastAsia="en-AU"/>
        </w:rPr>
      </w:pPr>
      <w:hyperlink w:anchor="_Toc42254595" w:history="1">
        <w:r w:rsidR="004B4963" w:rsidRPr="00397723">
          <w:rPr>
            <w:rStyle w:val="Hyperlink"/>
          </w:rPr>
          <w:t>Attachment 4A: DHHS first right of refusal request form</w:t>
        </w:r>
        <w:r w:rsidR="004B4963">
          <w:rPr>
            <w:webHidden/>
          </w:rPr>
          <w:tab/>
        </w:r>
        <w:r w:rsidR="004B4963">
          <w:rPr>
            <w:webHidden/>
          </w:rPr>
          <w:fldChar w:fldCharType="begin"/>
        </w:r>
        <w:r w:rsidR="004B4963">
          <w:rPr>
            <w:webHidden/>
          </w:rPr>
          <w:instrText xml:space="preserve"> PAGEREF _Toc42254595 \h </w:instrText>
        </w:r>
        <w:r w:rsidR="004B4963">
          <w:rPr>
            <w:webHidden/>
          </w:rPr>
        </w:r>
        <w:r w:rsidR="004B4963">
          <w:rPr>
            <w:webHidden/>
          </w:rPr>
          <w:fldChar w:fldCharType="separate"/>
        </w:r>
        <w:r w:rsidR="004B4963">
          <w:rPr>
            <w:webHidden/>
          </w:rPr>
          <w:t>6</w:t>
        </w:r>
        <w:r w:rsidR="004B4963">
          <w:rPr>
            <w:webHidden/>
          </w:rPr>
          <w:fldChar w:fldCharType="end"/>
        </w:r>
      </w:hyperlink>
    </w:p>
    <w:p w14:paraId="2585AF3F" w14:textId="665C7588" w:rsidR="004B4963" w:rsidRDefault="005640FF">
      <w:pPr>
        <w:pStyle w:val="TOC2"/>
        <w:rPr>
          <w:rFonts w:asciiTheme="minorHAnsi" w:eastAsiaTheme="minorEastAsia" w:hAnsiTheme="minorHAnsi" w:cstheme="minorBidi"/>
          <w:sz w:val="22"/>
          <w:szCs w:val="22"/>
          <w:lang w:eastAsia="en-AU"/>
        </w:rPr>
      </w:pPr>
      <w:hyperlink w:anchor="_Toc42254596" w:history="1">
        <w:r w:rsidR="004B4963" w:rsidRPr="00397723">
          <w:rPr>
            <w:rStyle w:val="Hyperlink"/>
          </w:rPr>
          <w:t>Example completed form</w:t>
        </w:r>
        <w:r w:rsidR="004B4963">
          <w:rPr>
            <w:webHidden/>
          </w:rPr>
          <w:tab/>
        </w:r>
        <w:r w:rsidR="004B4963">
          <w:rPr>
            <w:webHidden/>
          </w:rPr>
          <w:fldChar w:fldCharType="begin"/>
        </w:r>
        <w:r w:rsidR="004B4963">
          <w:rPr>
            <w:webHidden/>
          </w:rPr>
          <w:instrText xml:space="preserve"> PAGEREF _Toc42254596 \h </w:instrText>
        </w:r>
        <w:r w:rsidR="004B4963">
          <w:rPr>
            <w:webHidden/>
          </w:rPr>
        </w:r>
        <w:r w:rsidR="004B4963">
          <w:rPr>
            <w:webHidden/>
          </w:rPr>
          <w:fldChar w:fldCharType="separate"/>
        </w:r>
        <w:r w:rsidR="004B4963">
          <w:rPr>
            <w:webHidden/>
          </w:rPr>
          <w:t>7</w:t>
        </w:r>
        <w:r w:rsidR="004B4963">
          <w:rPr>
            <w:webHidden/>
          </w:rPr>
          <w:fldChar w:fldCharType="end"/>
        </w:r>
      </w:hyperlink>
    </w:p>
    <w:p w14:paraId="14A0D4BD" w14:textId="12FCCDC7" w:rsidR="004B4963" w:rsidRDefault="005640FF">
      <w:pPr>
        <w:pStyle w:val="TOC1"/>
        <w:rPr>
          <w:rFonts w:asciiTheme="minorHAnsi" w:eastAsiaTheme="minorEastAsia" w:hAnsiTheme="minorHAnsi" w:cstheme="minorBidi"/>
          <w:b w:val="0"/>
          <w:sz w:val="22"/>
          <w:szCs w:val="22"/>
          <w:lang w:eastAsia="en-AU"/>
        </w:rPr>
      </w:pPr>
      <w:hyperlink w:anchor="_Toc42254597" w:history="1">
        <w:r w:rsidR="004B4963" w:rsidRPr="00397723">
          <w:rPr>
            <w:rStyle w:val="Hyperlink"/>
          </w:rPr>
          <w:t>Appendix 5: Valuer-General rental valuation form</w:t>
        </w:r>
        <w:r w:rsidR="004B4963">
          <w:rPr>
            <w:webHidden/>
          </w:rPr>
          <w:tab/>
        </w:r>
        <w:r w:rsidR="004B4963">
          <w:rPr>
            <w:webHidden/>
          </w:rPr>
          <w:fldChar w:fldCharType="begin"/>
        </w:r>
        <w:r w:rsidR="004B4963">
          <w:rPr>
            <w:webHidden/>
          </w:rPr>
          <w:instrText xml:space="preserve"> PAGEREF _Toc42254597 \h </w:instrText>
        </w:r>
        <w:r w:rsidR="004B4963">
          <w:rPr>
            <w:webHidden/>
          </w:rPr>
        </w:r>
        <w:r w:rsidR="004B4963">
          <w:rPr>
            <w:webHidden/>
          </w:rPr>
          <w:fldChar w:fldCharType="separate"/>
        </w:r>
        <w:r w:rsidR="004B4963">
          <w:rPr>
            <w:webHidden/>
          </w:rPr>
          <w:t>8</w:t>
        </w:r>
        <w:r w:rsidR="004B4963">
          <w:rPr>
            <w:webHidden/>
          </w:rPr>
          <w:fldChar w:fldCharType="end"/>
        </w:r>
      </w:hyperlink>
    </w:p>
    <w:p w14:paraId="790E09C2" w14:textId="187864E6" w:rsidR="004B4963" w:rsidRDefault="005640FF">
      <w:pPr>
        <w:pStyle w:val="TOC1"/>
        <w:rPr>
          <w:rFonts w:asciiTheme="minorHAnsi" w:eastAsiaTheme="minorEastAsia" w:hAnsiTheme="minorHAnsi" w:cstheme="minorBidi"/>
          <w:b w:val="0"/>
          <w:sz w:val="22"/>
          <w:szCs w:val="22"/>
          <w:lang w:eastAsia="en-AU"/>
        </w:rPr>
      </w:pPr>
      <w:hyperlink w:anchor="_Toc42254598" w:history="1">
        <w:r w:rsidR="004B4963" w:rsidRPr="00397723">
          <w:rPr>
            <w:rStyle w:val="Hyperlink"/>
          </w:rPr>
          <w:t>Appendix 6: Image description</w:t>
        </w:r>
        <w:r w:rsidR="004B4963">
          <w:rPr>
            <w:webHidden/>
          </w:rPr>
          <w:tab/>
        </w:r>
        <w:r w:rsidR="004B4963">
          <w:rPr>
            <w:webHidden/>
          </w:rPr>
          <w:fldChar w:fldCharType="begin"/>
        </w:r>
        <w:r w:rsidR="004B4963">
          <w:rPr>
            <w:webHidden/>
          </w:rPr>
          <w:instrText xml:space="preserve"> PAGEREF _Toc42254598 \h </w:instrText>
        </w:r>
        <w:r w:rsidR="004B4963">
          <w:rPr>
            <w:webHidden/>
          </w:rPr>
        </w:r>
        <w:r w:rsidR="004B4963">
          <w:rPr>
            <w:webHidden/>
          </w:rPr>
          <w:fldChar w:fldCharType="separate"/>
        </w:r>
        <w:r w:rsidR="004B4963">
          <w:rPr>
            <w:webHidden/>
          </w:rPr>
          <w:t>9</w:t>
        </w:r>
        <w:r w:rsidR="004B4963">
          <w:rPr>
            <w:webHidden/>
          </w:rPr>
          <w:fldChar w:fldCharType="end"/>
        </w:r>
      </w:hyperlink>
    </w:p>
    <w:p w14:paraId="2A995309" w14:textId="39F6CB8C" w:rsidR="004B4963" w:rsidRDefault="005640FF">
      <w:pPr>
        <w:pStyle w:val="TOC2"/>
        <w:rPr>
          <w:rFonts w:asciiTheme="minorHAnsi" w:eastAsiaTheme="minorEastAsia" w:hAnsiTheme="minorHAnsi" w:cstheme="minorBidi"/>
          <w:sz w:val="22"/>
          <w:szCs w:val="22"/>
          <w:lang w:eastAsia="en-AU"/>
        </w:rPr>
      </w:pPr>
      <w:hyperlink w:anchor="_Toc42254599" w:history="1">
        <w:r w:rsidR="004B4963" w:rsidRPr="00397723">
          <w:rPr>
            <w:rStyle w:val="Hyperlink"/>
          </w:rPr>
          <w:t>Figure 1: Asset lifecycle stages</w:t>
        </w:r>
        <w:r w:rsidR="004B4963">
          <w:rPr>
            <w:webHidden/>
          </w:rPr>
          <w:tab/>
        </w:r>
        <w:r w:rsidR="004B4963">
          <w:rPr>
            <w:webHidden/>
          </w:rPr>
          <w:fldChar w:fldCharType="begin"/>
        </w:r>
        <w:r w:rsidR="004B4963">
          <w:rPr>
            <w:webHidden/>
          </w:rPr>
          <w:instrText xml:space="preserve"> PAGEREF _Toc42254599 \h </w:instrText>
        </w:r>
        <w:r w:rsidR="004B4963">
          <w:rPr>
            <w:webHidden/>
          </w:rPr>
        </w:r>
        <w:r w:rsidR="004B4963">
          <w:rPr>
            <w:webHidden/>
          </w:rPr>
          <w:fldChar w:fldCharType="separate"/>
        </w:r>
        <w:r w:rsidR="004B4963">
          <w:rPr>
            <w:webHidden/>
          </w:rPr>
          <w:t>9</w:t>
        </w:r>
        <w:r w:rsidR="004B4963">
          <w:rPr>
            <w:webHidden/>
          </w:rPr>
          <w:fldChar w:fldCharType="end"/>
        </w:r>
      </w:hyperlink>
    </w:p>
    <w:p w14:paraId="3FDCCE82" w14:textId="0827DF80" w:rsidR="00D052B2" w:rsidRDefault="00E15DA9" w:rsidP="00213772">
      <w:pPr>
        <w:pStyle w:val="TOC2"/>
        <w:rPr>
          <w:noProof w:val="0"/>
        </w:rPr>
        <w:sectPr w:rsidR="00D052B2" w:rsidSect="00577484">
          <w:pgSz w:w="11906" w:h="16838"/>
          <w:pgMar w:top="1701" w:right="1304" w:bottom="851" w:left="1304" w:header="454" w:footer="567" w:gutter="0"/>
          <w:cols w:space="720"/>
          <w:docGrid w:linePitch="360"/>
        </w:sectPr>
      </w:pPr>
      <w:r w:rsidRPr="003072C6">
        <w:rPr>
          <w:noProof w:val="0"/>
        </w:rPr>
        <w:fldChar w:fldCharType="end"/>
      </w:r>
    </w:p>
    <w:p w14:paraId="05AC0FB5" w14:textId="77777777" w:rsidR="00E30414" w:rsidRPr="00AB50C1" w:rsidRDefault="008A36BF" w:rsidP="00711B0C">
      <w:pPr>
        <w:pStyle w:val="Heading1"/>
        <w:spacing w:before="0"/>
      </w:pPr>
      <w:bookmarkStart w:id="1" w:name="_Toc42254565"/>
      <w:r>
        <w:lastRenderedPageBreak/>
        <w:t>Introduction</w:t>
      </w:r>
      <w:bookmarkEnd w:id="1"/>
    </w:p>
    <w:p w14:paraId="34E33A04" w14:textId="54845209" w:rsidR="008A36BF" w:rsidRDefault="008A36BF" w:rsidP="008A36BF">
      <w:pPr>
        <w:pStyle w:val="DHHSbody"/>
      </w:pPr>
      <w:r>
        <w:t>These</w:t>
      </w:r>
      <w:r w:rsidRPr="008A36BF">
        <w:rPr>
          <w:i/>
          <w:iCs/>
        </w:rPr>
        <w:t xml:space="preserve"> Property management and governance guideline</w:t>
      </w:r>
      <w:r>
        <w:t xml:space="preserve">s outline the basic legislative, policy and procedural framework for the acquisition, divestment, leasing and licensing of land by or on behalf of the Minister for Health, the Secretary to the Department of Health and Human Services (‘the department’) and public health services and cemetery trusts. </w:t>
      </w:r>
    </w:p>
    <w:p w14:paraId="0C358C30" w14:textId="77777777" w:rsidR="008A36BF" w:rsidRDefault="008A36BF" w:rsidP="008A36BF">
      <w:pPr>
        <w:pStyle w:val="DHHSbody"/>
      </w:pPr>
      <w:r>
        <w:t>Its purpose is to assist public entities in the health portfolio in understanding how the provision of real estate services (public construction, leasing, sale, acquisition and management of land) is to be applied within the health portfolio.</w:t>
      </w:r>
    </w:p>
    <w:p w14:paraId="7D4FD404" w14:textId="77777777" w:rsidR="008A36BF" w:rsidRDefault="008A36BF" w:rsidP="008A36BF">
      <w:pPr>
        <w:pStyle w:val="DHHSbody"/>
      </w:pPr>
      <w:r>
        <w:t>Part 1 guides officers through the accountability and administration requirements when transacting real property.</w:t>
      </w:r>
    </w:p>
    <w:p w14:paraId="7A85A1B3" w14:textId="77777777" w:rsidR="008A36BF" w:rsidRDefault="008A36BF" w:rsidP="008A36BF">
      <w:pPr>
        <w:pStyle w:val="DHHSbody"/>
      </w:pPr>
      <w:r>
        <w:t xml:space="preserve">The process for acquiring and divesting land is set out in Parts 2 and 3. </w:t>
      </w:r>
    </w:p>
    <w:p w14:paraId="739940CB" w14:textId="77777777" w:rsidR="008A36BF" w:rsidRDefault="008A36BF" w:rsidP="008A36BF">
      <w:pPr>
        <w:pStyle w:val="DHHSbody"/>
      </w:pPr>
      <w:r>
        <w:t xml:space="preserve">Land tenures for occupying and using land for delivering government funded services and the requirements for leasing and licensing are set out in Parts 4 and 5. </w:t>
      </w:r>
    </w:p>
    <w:p w14:paraId="595793D2" w14:textId="77777777" w:rsidR="008A36BF" w:rsidRDefault="008A36BF" w:rsidP="008A36BF">
      <w:pPr>
        <w:pStyle w:val="DHHSbody"/>
      </w:pPr>
      <w:r>
        <w:t>Part 6 outlines maintenance obligations, including where property is obsolete or surplus to requirements.</w:t>
      </w:r>
    </w:p>
    <w:p w14:paraId="0FCEC4AC" w14:textId="77777777" w:rsidR="008A36BF" w:rsidRDefault="008A36BF" w:rsidP="008A36BF">
      <w:pPr>
        <w:pStyle w:val="DHHSbody"/>
      </w:pPr>
      <w:r>
        <w:t>This manual is for general guidance and officers should consult and comply with the requirements of all relevant legislation, ministerial directions and government policy and practices to ensure that proper procedures are followed for each project or task.</w:t>
      </w:r>
    </w:p>
    <w:p w14:paraId="0A5BA4BF" w14:textId="77777777" w:rsidR="008A36BF" w:rsidRDefault="008A36BF" w:rsidP="008A36BF">
      <w:pPr>
        <w:pStyle w:val="DHHSbody"/>
      </w:pPr>
      <w:proofErr w:type="gramStart"/>
      <w:r>
        <w:t>This manual details</w:t>
      </w:r>
      <w:proofErr w:type="gramEnd"/>
      <w:r>
        <w:t xml:space="preserve"> the transactional process for the acquisition, divestment and leasing of land. Any acquisition, divestment and leasing of land should align with service planning and master planning processes and only occur once the project has been approved. In relation to cemetery trusts, this manual should be employed once a full business case has been endorsed by the department’s Cemeteries and Crematoria Unit. </w:t>
      </w:r>
    </w:p>
    <w:p w14:paraId="78CBF7F1" w14:textId="77777777" w:rsidR="008A36BF" w:rsidRDefault="008A36BF" w:rsidP="008A36BF">
      <w:pPr>
        <w:pStyle w:val="DHHSbody"/>
      </w:pPr>
      <w:r>
        <w:t>Where specific or more comprehensive advice is required, the matter should be referred to the Manager, Property within the department’s Property team at capital@dhhs.vic.gov.au or call 9096 2061.</w:t>
      </w:r>
    </w:p>
    <w:p w14:paraId="43F3E079" w14:textId="77777777" w:rsidR="008A36BF" w:rsidRDefault="008A36BF">
      <w:pPr>
        <w:rPr>
          <w:rFonts w:ascii="Arial" w:eastAsia="Times" w:hAnsi="Arial"/>
        </w:rPr>
      </w:pPr>
      <w:r>
        <w:br w:type="page"/>
      </w:r>
    </w:p>
    <w:p w14:paraId="7DF7489C" w14:textId="77777777" w:rsidR="008A36BF" w:rsidRDefault="008A36BF" w:rsidP="008A36BF">
      <w:pPr>
        <w:pStyle w:val="Heading2"/>
      </w:pPr>
      <w:bookmarkStart w:id="2" w:name="_Toc42254566"/>
      <w:r>
        <w:lastRenderedPageBreak/>
        <w:t>Supporting and related documents</w:t>
      </w:r>
      <w:bookmarkEnd w:id="2"/>
    </w:p>
    <w:p w14:paraId="12A993E4" w14:textId="77777777" w:rsidR="008A36BF" w:rsidRDefault="008A36BF" w:rsidP="008A36BF">
      <w:pPr>
        <w:pStyle w:val="DHHSbody"/>
      </w:pPr>
      <w:r>
        <w:t>Table 1 lists the key policies underpinning property transactional processes.</w:t>
      </w:r>
    </w:p>
    <w:p w14:paraId="0E9B5830" w14:textId="6896F2AC" w:rsidR="00027870" w:rsidRDefault="00027870" w:rsidP="00027870">
      <w:pPr>
        <w:pStyle w:val="DHHStablecaption"/>
      </w:pPr>
      <w:r>
        <w:t xml:space="preserve">Table </w:t>
      </w:r>
      <w:fldSimple w:instr=" SEQ Table \* ARABIC ">
        <w:r w:rsidR="000479E3">
          <w:rPr>
            <w:noProof/>
          </w:rPr>
          <w:t>1</w:t>
        </w:r>
      </w:fldSimple>
      <w:r>
        <w:t>: Key policies</w:t>
      </w:r>
    </w:p>
    <w:tbl>
      <w:tblPr>
        <w:tblStyle w:val="TableGrid"/>
        <w:tblW w:w="9479" w:type="dxa"/>
        <w:tblLook w:val="04A0" w:firstRow="1" w:lastRow="0" w:firstColumn="1" w:lastColumn="0" w:noHBand="0" w:noVBand="1"/>
      </w:tblPr>
      <w:tblGrid>
        <w:gridCol w:w="4830"/>
        <w:gridCol w:w="4649"/>
      </w:tblGrid>
      <w:tr w:rsidR="008A36BF" w14:paraId="73C3794B" w14:textId="77777777" w:rsidTr="00507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7892F26A" w14:textId="77777777" w:rsidR="008A36BF" w:rsidRDefault="008A36BF" w:rsidP="00027870">
            <w:pPr>
              <w:pStyle w:val="DHHStablecolhead"/>
            </w:pPr>
            <w:r>
              <w:t>Policy</w:t>
            </w:r>
          </w:p>
        </w:tc>
        <w:tc>
          <w:tcPr>
            <w:tcW w:w="4649" w:type="dxa"/>
          </w:tcPr>
          <w:p w14:paraId="386AC990" w14:textId="77777777" w:rsidR="008A36BF" w:rsidRDefault="008A36BF" w:rsidP="00027870">
            <w:pPr>
              <w:pStyle w:val="DHHStablecolhead"/>
              <w:cnfStyle w:val="100000000000" w:firstRow="1" w:lastRow="0" w:firstColumn="0" w:lastColumn="0" w:oddVBand="0" w:evenVBand="0" w:oddHBand="0" w:evenHBand="0" w:firstRowFirstColumn="0" w:firstRowLastColumn="0" w:lastRowFirstColumn="0" w:lastRowLastColumn="0"/>
            </w:pPr>
            <w:r>
              <w:t>Administration</w:t>
            </w:r>
          </w:p>
        </w:tc>
      </w:tr>
      <w:tr w:rsidR="008A36BF" w14:paraId="061EFECD"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2D11263D" w14:textId="77777777" w:rsidR="00E12732" w:rsidRDefault="008A36BF" w:rsidP="00027870">
            <w:pPr>
              <w:pStyle w:val="DHHStabletext"/>
            </w:pPr>
            <w:r w:rsidRPr="00E12732">
              <w:t>Victorian Government land transactions policy and guidelines</w:t>
            </w:r>
            <w:r>
              <w:t xml:space="preserve"> </w:t>
            </w:r>
          </w:p>
          <w:p w14:paraId="05F4AC88" w14:textId="77777777" w:rsidR="008A36BF" w:rsidRDefault="00E12732" w:rsidP="00027870">
            <w:pPr>
              <w:pStyle w:val="DHHStabletext"/>
            </w:pPr>
            <w:r>
              <w:t xml:space="preserve">See </w:t>
            </w:r>
            <w:hyperlink r:id="rId19" w:history="1">
              <w:r w:rsidRPr="00E12732">
                <w:rPr>
                  <w:rStyle w:val="Hyperlink"/>
                </w:rPr>
                <w:t>Victorian Government Land Monitor page</w:t>
              </w:r>
            </w:hyperlink>
            <w:r>
              <w:t xml:space="preserve"> </w:t>
            </w:r>
            <w:r w:rsidR="00125FB7">
              <w:t>&lt;</w:t>
            </w:r>
            <w:r w:rsidR="00125FB7" w:rsidRPr="00125FB7">
              <w:t>https://www.propertyandlandtitles.vic.gov.au/vglm</w:t>
            </w:r>
            <w:r w:rsidR="00125FB7">
              <w:t>&gt;</w:t>
            </w:r>
          </w:p>
        </w:tc>
        <w:tc>
          <w:tcPr>
            <w:tcW w:w="4649" w:type="dxa"/>
          </w:tcPr>
          <w:p w14:paraId="168BA3FE" w14:textId="77777777" w:rsidR="008A36BF" w:rsidRDefault="008A36BF" w:rsidP="00027870">
            <w:pPr>
              <w:pStyle w:val="DHHStabletext"/>
              <w:cnfStyle w:val="000000000000" w:firstRow="0" w:lastRow="0" w:firstColumn="0" w:lastColumn="0" w:oddVBand="0" w:evenVBand="0" w:oddHBand="0" w:evenHBand="0" w:firstRowFirstColumn="0" w:firstRowLastColumn="0" w:lastRowFirstColumn="0" w:lastRowLastColumn="0"/>
            </w:pPr>
            <w:r w:rsidRPr="008A36BF">
              <w:t>Administered by the Department of Environment, Land, Water and Planning</w:t>
            </w:r>
          </w:p>
        </w:tc>
      </w:tr>
      <w:tr w:rsidR="008A36BF" w14:paraId="07070C61"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6E21A270" w14:textId="77777777" w:rsidR="008A36BF" w:rsidRDefault="005640FF" w:rsidP="00027870">
            <w:pPr>
              <w:pStyle w:val="DHHStabletext"/>
            </w:pPr>
            <w:hyperlink r:id="rId20" w:history="1">
              <w:r w:rsidR="008A36BF" w:rsidRPr="00125FB7">
                <w:rPr>
                  <w:rStyle w:val="Hyperlink"/>
                </w:rPr>
                <w:t>Victorian Government landholding policy and guidelines</w:t>
              </w:r>
            </w:hyperlink>
            <w:r w:rsidR="00125FB7">
              <w:t xml:space="preserve"> &lt;</w:t>
            </w:r>
            <w:r w:rsidR="00125FB7" w:rsidRPr="00125FB7">
              <w:t>https://www.planning.vic.gov.au/policy-and-strategy/government-land-planning-service/victorian-government-landholding-policy-and-guidelines</w:t>
            </w:r>
            <w:r w:rsidR="00125FB7">
              <w:t>&gt;</w:t>
            </w:r>
          </w:p>
        </w:tc>
        <w:tc>
          <w:tcPr>
            <w:tcW w:w="4649" w:type="dxa"/>
          </w:tcPr>
          <w:p w14:paraId="1B6183B9" w14:textId="77777777" w:rsidR="008A36BF" w:rsidRDefault="00125FB7" w:rsidP="00027870">
            <w:pPr>
              <w:pStyle w:val="DHHStabletext"/>
              <w:cnfStyle w:val="000000000000" w:firstRow="0" w:lastRow="0" w:firstColumn="0" w:lastColumn="0" w:oddVBand="0" w:evenVBand="0" w:oddHBand="0" w:evenHBand="0" w:firstRowFirstColumn="0" w:firstRowLastColumn="0" w:lastRowFirstColumn="0" w:lastRowLastColumn="0"/>
            </w:pPr>
            <w:r w:rsidRPr="00125FB7">
              <w:t>Administered by the Department of Treasury and Finance</w:t>
            </w:r>
          </w:p>
        </w:tc>
      </w:tr>
      <w:tr w:rsidR="008A36BF" w14:paraId="43D7332A"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3472933F" w14:textId="77777777" w:rsidR="008A36BF" w:rsidRDefault="008A36BF" w:rsidP="00027870">
            <w:pPr>
              <w:pStyle w:val="DHHStabletext"/>
            </w:pPr>
            <w:r>
              <w:t>Leasing policy for Crown land in Victoria 2010</w:t>
            </w:r>
          </w:p>
          <w:p w14:paraId="2A879F98" w14:textId="77777777" w:rsidR="008A36BF" w:rsidRDefault="008A36BF" w:rsidP="00027870">
            <w:pPr>
              <w:pStyle w:val="DHHStabletext"/>
            </w:pPr>
            <w:r>
              <w:t>Crown land leasing guidelines leasing legislation, May 2012</w:t>
            </w:r>
          </w:p>
          <w:p w14:paraId="30025D8A" w14:textId="77777777" w:rsidR="00027870" w:rsidRDefault="00027870" w:rsidP="00027870">
            <w:pPr>
              <w:pStyle w:val="DHHStabletext"/>
            </w:pPr>
            <w:r>
              <w:t xml:space="preserve">See </w:t>
            </w:r>
            <w:hyperlink r:id="rId21" w:history="1">
              <w:r w:rsidRPr="00027870">
                <w:rPr>
                  <w:rStyle w:val="Hyperlink"/>
                </w:rPr>
                <w:t>Crown land leases, licences and permits</w:t>
              </w:r>
            </w:hyperlink>
            <w:r>
              <w:t xml:space="preserve"> &lt;</w:t>
            </w:r>
            <w:r w:rsidRPr="00027870">
              <w:t>https://www.forestsandreserves.vic.gov.au/land-management/crown-land-leases-licences-and-permits</w:t>
            </w:r>
            <w:r>
              <w:t>&gt;</w:t>
            </w:r>
          </w:p>
        </w:tc>
        <w:tc>
          <w:tcPr>
            <w:tcW w:w="4649" w:type="dxa"/>
          </w:tcPr>
          <w:p w14:paraId="65CB505F" w14:textId="77777777" w:rsidR="008A36BF" w:rsidRDefault="00125FB7" w:rsidP="00027870">
            <w:pPr>
              <w:pStyle w:val="DHHStabletext"/>
              <w:cnfStyle w:val="000000000000" w:firstRow="0" w:lastRow="0" w:firstColumn="0" w:lastColumn="0" w:oddVBand="0" w:evenVBand="0" w:oddHBand="0" w:evenHBand="0" w:firstRowFirstColumn="0" w:firstRowLastColumn="0" w:lastRowFirstColumn="0" w:lastRowLastColumn="0"/>
            </w:pPr>
            <w:r w:rsidRPr="00125FB7">
              <w:t>Administered by the Department of Environment, Land, Water and Planning</w:t>
            </w:r>
          </w:p>
        </w:tc>
      </w:tr>
      <w:tr w:rsidR="008A36BF" w14:paraId="477EDE08"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31D2A641" w14:textId="77777777" w:rsidR="008A36BF" w:rsidRDefault="005640FF" w:rsidP="00027870">
            <w:pPr>
              <w:pStyle w:val="DHHStabletext"/>
            </w:pPr>
            <w:hyperlink r:id="rId22" w:history="1">
              <w:r w:rsidR="008A36BF" w:rsidRPr="00027870">
                <w:rPr>
                  <w:rStyle w:val="Hyperlink"/>
                </w:rPr>
                <w:t>Committees of management responsibilities and good practice guidelines</w:t>
              </w:r>
            </w:hyperlink>
            <w:r w:rsidR="008A36BF">
              <w:t>, 1 November 2015</w:t>
            </w:r>
            <w:r w:rsidR="00027870">
              <w:t xml:space="preserve"> &lt;</w:t>
            </w:r>
            <w:r w:rsidR="00027870" w:rsidRPr="00027870">
              <w:t>https://www2.delwp.vic.gov.au/boards-and-governance/committees-of-management</w:t>
            </w:r>
            <w:r w:rsidR="00027870">
              <w:t>&gt;</w:t>
            </w:r>
          </w:p>
        </w:tc>
        <w:tc>
          <w:tcPr>
            <w:tcW w:w="4649" w:type="dxa"/>
          </w:tcPr>
          <w:p w14:paraId="7940D6D7" w14:textId="77777777" w:rsidR="008A36BF" w:rsidRDefault="00125FB7" w:rsidP="00027870">
            <w:pPr>
              <w:pStyle w:val="DHHStabletext"/>
              <w:cnfStyle w:val="000000000000" w:firstRow="0" w:lastRow="0" w:firstColumn="0" w:lastColumn="0" w:oddVBand="0" w:evenVBand="0" w:oddHBand="0" w:evenHBand="0" w:firstRowFirstColumn="0" w:firstRowLastColumn="0" w:lastRowFirstColumn="0" w:lastRowLastColumn="0"/>
            </w:pPr>
            <w:r w:rsidRPr="00125FB7">
              <w:t>Administered by the Department of Environment, Land, Water and Planning</w:t>
            </w:r>
          </w:p>
        </w:tc>
      </w:tr>
      <w:tr w:rsidR="008A36BF" w14:paraId="64E3AB56"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6918B058" w14:textId="77777777" w:rsidR="008A36BF" w:rsidRDefault="005640FF" w:rsidP="00027870">
            <w:pPr>
              <w:pStyle w:val="DHHStabletext"/>
            </w:pPr>
            <w:hyperlink r:id="rId23" w:history="1">
              <w:r w:rsidR="000C5510">
                <w:t xml:space="preserve">Victoria Government </w:t>
              </w:r>
              <w:r w:rsidR="000C5510">
                <w:rPr>
                  <w:rStyle w:val="Hyperlink"/>
                </w:rPr>
                <w:t>A</w:t>
              </w:r>
              <w:r w:rsidR="008A36BF" w:rsidRPr="00027870">
                <w:rPr>
                  <w:rStyle w:val="Hyperlink"/>
                </w:rPr>
                <w:t>sset management accountability framework</w:t>
              </w:r>
            </w:hyperlink>
            <w:r w:rsidR="008A36BF">
              <w:t>, February 2016</w:t>
            </w:r>
            <w:r w:rsidR="00027870">
              <w:t xml:space="preserve"> &lt;</w:t>
            </w:r>
            <w:r w:rsidR="00027870" w:rsidRPr="00027870">
              <w:t>https://www.dtf.vic.gov.au/infrastructure-investment/asset-management-accountability-framework</w:t>
            </w:r>
            <w:r w:rsidR="00027870">
              <w:t>&gt;</w:t>
            </w:r>
          </w:p>
        </w:tc>
        <w:tc>
          <w:tcPr>
            <w:tcW w:w="4649" w:type="dxa"/>
          </w:tcPr>
          <w:p w14:paraId="73321F32" w14:textId="77777777" w:rsidR="008A36BF" w:rsidRDefault="00125FB7" w:rsidP="00027870">
            <w:pPr>
              <w:pStyle w:val="DHHStabletext"/>
              <w:cnfStyle w:val="000000000000" w:firstRow="0" w:lastRow="0" w:firstColumn="0" w:lastColumn="0" w:oddVBand="0" w:evenVBand="0" w:oddHBand="0" w:evenHBand="0" w:firstRowFirstColumn="0" w:firstRowLastColumn="0" w:lastRowFirstColumn="0" w:lastRowLastColumn="0"/>
            </w:pPr>
            <w:r w:rsidRPr="00125FB7">
              <w:t>Administered by the Department of Treasury and Finance</w:t>
            </w:r>
          </w:p>
        </w:tc>
      </w:tr>
      <w:tr w:rsidR="008A36BF" w14:paraId="2ACDC0B7" w14:textId="77777777" w:rsidTr="005073F9">
        <w:tc>
          <w:tcPr>
            <w:cnfStyle w:val="001000000000" w:firstRow="0" w:lastRow="0" w:firstColumn="1" w:lastColumn="0" w:oddVBand="0" w:evenVBand="0" w:oddHBand="0" w:evenHBand="0" w:firstRowFirstColumn="0" w:firstRowLastColumn="0" w:lastRowFirstColumn="0" w:lastRowLastColumn="0"/>
            <w:tcW w:w="4830" w:type="dxa"/>
          </w:tcPr>
          <w:p w14:paraId="0D30EAEC" w14:textId="77777777" w:rsidR="008A36BF" w:rsidRDefault="005640FF" w:rsidP="00027870">
            <w:pPr>
              <w:pStyle w:val="DHHStabletext"/>
            </w:pPr>
            <w:hyperlink r:id="rId24" w:history="1">
              <w:r w:rsidR="008A36BF" w:rsidRPr="00027870">
                <w:rPr>
                  <w:rStyle w:val="Hyperlink"/>
                </w:rPr>
                <w:t>Victorian policy and funding guidelines</w:t>
              </w:r>
              <w:r w:rsidR="00027870" w:rsidRPr="00027870">
                <w:rPr>
                  <w:rStyle w:val="Hyperlink"/>
                </w:rPr>
                <w:t xml:space="preserve"> for health and human services</w:t>
              </w:r>
            </w:hyperlink>
            <w:r w:rsidR="00027870">
              <w:t xml:space="preserve"> &lt;</w:t>
            </w:r>
            <w:r w:rsidR="00027870" w:rsidRPr="00027870">
              <w:t>https://www.dhhs.vic.gov.au/publications/policy-and-funding-guidelines-health-and-human-services</w:t>
            </w:r>
            <w:r w:rsidR="00027870">
              <w:t>&gt;</w:t>
            </w:r>
          </w:p>
        </w:tc>
        <w:tc>
          <w:tcPr>
            <w:tcW w:w="4649" w:type="dxa"/>
          </w:tcPr>
          <w:p w14:paraId="28B109B2" w14:textId="77777777" w:rsidR="008A36BF" w:rsidRDefault="00125FB7" w:rsidP="00027870">
            <w:pPr>
              <w:pStyle w:val="DHHStabletext"/>
              <w:cnfStyle w:val="000000000000" w:firstRow="0" w:lastRow="0" w:firstColumn="0" w:lastColumn="0" w:oddVBand="0" w:evenVBand="0" w:oddHBand="0" w:evenHBand="0" w:firstRowFirstColumn="0" w:firstRowLastColumn="0" w:lastRowFirstColumn="0" w:lastRowLastColumn="0"/>
            </w:pPr>
            <w:r w:rsidRPr="00125FB7">
              <w:t>Administered by the Department of Health and Human Services and updated annually</w:t>
            </w:r>
          </w:p>
        </w:tc>
      </w:tr>
    </w:tbl>
    <w:p w14:paraId="3266F829" w14:textId="77777777" w:rsidR="00654481" w:rsidRDefault="00654481" w:rsidP="00654481">
      <w:pPr>
        <w:pStyle w:val="DHHSbodyaftertablefigure"/>
      </w:pPr>
      <w:r>
        <w:t>Policies and guidelines can be accessed on the responsible department’s websites. The Property team can provide further information and support to ensure property activities are well planned, executed and follow proper processes.</w:t>
      </w:r>
    </w:p>
    <w:p w14:paraId="334B01E8" w14:textId="77777777" w:rsidR="00654481" w:rsidRDefault="00654481" w:rsidP="00654481">
      <w:pPr>
        <w:pStyle w:val="DHHSbody"/>
      </w:pPr>
      <w:r>
        <w:t>For assistance, please contact the Manager, Property:</w:t>
      </w:r>
    </w:p>
    <w:p w14:paraId="5F94DFEB" w14:textId="77777777" w:rsidR="00654481" w:rsidRPr="00E14E5C" w:rsidRDefault="00654481" w:rsidP="00654481">
      <w:pPr>
        <w:pStyle w:val="DHHSbullet1"/>
      </w:pPr>
      <w:r w:rsidRPr="00E14E5C">
        <w:t>email capital@dhhs.vic.gov.au</w:t>
      </w:r>
    </w:p>
    <w:p w14:paraId="6D5F34E0" w14:textId="6D3C4601" w:rsidR="00654481" w:rsidRPr="00E14E5C" w:rsidRDefault="00654481" w:rsidP="00654481">
      <w:pPr>
        <w:pStyle w:val="DHHSbullet1"/>
      </w:pPr>
      <w:r w:rsidRPr="00E14E5C">
        <w:t xml:space="preserve">call 9096 </w:t>
      </w:r>
      <w:r w:rsidR="00E14E5C" w:rsidRPr="00E14E5C">
        <w:t>9916</w:t>
      </w:r>
      <w:r w:rsidRPr="00E14E5C">
        <w:t xml:space="preserve">. </w:t>
      </w:r>
    </w:p>
    <w:p w14:paraId="787C74E6" w14:textId="77777777" w:rsidR="00654481" w:rsidRDefault="00654481" w:rsidP="00654481">
      <w:pPr>
        <w:pStyle w:val="DHHSbodyafterbullets"/>
      </w:pPr>
      <w:r w:rsidRPr="00E14E5C">
        <w:t>A list of</w:t>
      </w:r>
      <w:r>
        <w:t xml:space="preserve"> key legislation is provided at Appendix 1, with a brief description of its relevance. </w:t>
      </w:r>
    </w:p>
    <w:p w14:paraId="599DA1C0" w14:textId="77777777" w:rsidR="00654481" w:rsidRDefault="00654481" w:rsidP="00654481">
      <w:pPr>
        <w:pStyle w:val="DHHSbody"/>
      </w:pPr>
      <w:r>
        <w:t xml:space="preserve">This guideline and all associated forms and links are available on the </w:t>
      </w:r>
      <w:hyperlink r:id="rId25" w:history="1">
        <w:r w:rsidRPr="00654481">
          <w:rPr>
            <w:rStyle w:val="Hyperlink"/>
          </w:rPr>
          <w:t>Property management page</w:t>
        </w:r>
      </w:hyperlink>
      <w:r>
        <w:t xml:space="preserve"> of the Infrastructure Planning and Delivery website &lt;http://www.capital.health.vic.gov.au/Property_Management&gt;.</w:t>
      </w:r>
    </w:p>
    <w:p w14:paraId="0F5328E1" w14:textId="77777777" w:rsidR="00654481" w:rsidRDefault="00654481" w:rsidP="00654481">
      <w:pPr>
        <w:pStyle w:val="DHHSbody"/>
      </w:pPr>
      <w:r>
        <w:br w:type="page"/>
      </w:r>
    </w:p>
    <w:p w14:paraId="04540952" w14:textId="77777777" w:rsidR="005E7112" w:rsidRPr="003072C6" w:rsidRDefault="005E7112" w:rsidP="005E7112">
      <w:pPr>
        <w:pStyle w:val="Heading1"/>
      </w:pPr>
      <w:bookmarkStart w:id="3" w:name="_Toc489625184"/>
      <w:bookmarkStart w:id="4" w:name="_Toc42254567"/>
      <w:r>
        <w:lastRenderedPageBreak/>
        <w:t>Part 1: Accountability and administration</w:t>
      </w:r>
      <w:bookmarkEnd w:id="3"/>
      <w:bookmarkEnd w:id="4"/>
      <w:r>
        <w:t xml:space="preserve"> </w:t>
      </w:r>
    </w:p>
    <w:p w14:paraId="26F65081" w14:textId="403F8839" w:rsidR="005E7112" w:rsidRDefault="005E7112" w:rsidP="005E7112">
      <w:pPr>
        <w:pStyle w:val="DHHSbody"/>
      </w:pPr>
      <w:r>
        <w:t xml:space="preserve">It is incumbent on all boards, chief executives, trusts and secretaries responsible for health portfolio public entities to ensure that all property transactions in which they are involved are carried out </w:t>
      </w:r>
      <w:r w:rsidR="00614376">
        <w:t>in line with</w:t>
      </w:r>
      <w:r>
        <w:t xml:space="preserve"> whole-of-Victorian Government and Victorian Department of Health and Human Services</w:t>
      </w:r>
      <w:r w:rsidR="00996364">
        <w:t>’</w:t>
      </w:r>
      <w:r>
        <w:t xml:space="preserve"> policies, procedures and guidelines.</w:t>
      </w:r>
    </w:p>
    <w:p w14:paraId="527B23CD" w14:textId="77777777" w:rsidR="005E7112" w:rsidRPr="00B20416" w:rsidRDefault="005E7112" w:rsidP="005E7112">
      <w:pPr>
        <w:pStyle w:val="Heading2"/>
      </w:pPr>
      <w:bookmarkStart w:id="5" w:name="_Toc410725702"/>
      <w:bookmarkStart w:id="6" w:name="_Toc422996698"/>
      <w:bookmarkStart w:id="7" w:name="_Toc423333213"/>
      <w:bookmarkStart w:id="8" w:name="_Toc489625185"/>
      <w:bookmarkStart w:id="9" w:name="_Toc42254568"/>
      <w:r w:rsidRPr="00B20416">
        <w:t xml:space="preserve">Health </w:t>
      </w:r>
      <w:r>
        <w:t>portfolio</w:t>
      </w:r>
      <w:r w:rsidRPr="00B20416">
        <w:t xml:space="preserve"> </w:t>
      </w:r>
      <w:r>
        <w:t>p</w:t>
      </w:r>
      <w:r w:rsidRPr="00B20416">
        <w:t xml:space="preserve">ublic </w:t>
      </w:r>
      <w:r>
        <w:t>e</w:t>
      </w:r>
      <w:r w:rsidRPr="00B20416">
        <w:t>ntities</w:t>
      </w:r>
      <w:bookmarkEnd w:id="5"/>
      <w:bookmarkEnd w:id="6"/>
      <w:bookmarkEnd w:id="7"/>
      <w:bookmarkEnd w:id="8"/>
      <w:bookmarkEnd w:id="9"/>
      <w:r w:rsidRPr="00B20416">
        <w:t xml:space="preserve"> </w:t>
      </w:r>
    </w:p>
    <w:p w14:paraId="59195F7D" w14:textId="77777777" w:rsidR="005E7112" w:rsidRPr="006100CF" w:rsidRDefault="005E7112" w:rsidP="005E7112">
      <w:pPr>
        <w:pStyle w:val="DHHSbody"/>
      </w:pPr>
      <w:r w:rsidRPr="006100CF">
        <w:t xml:space="preserve">The </w:t>
      </w:r>
      <w:r>
        <w:t>d</w:t>
      </w:r>
      <w:r w:rsidRPr="006100CF">
        <w:t xml:space="preserve">epartment funds </w:t>
      </w:r>
      <w:r>
        <w:t>public h</w:t>
      </w:r>
      <w:r w:rsidRPr="006100CF">
        <w:t xml:space="preserve">ealth </w:t>
      </w:r>
      <w:r>
        <w:t>services</w:t>
      </w:r>
      <w:r w:rsidRPr="006100CF">
        <w:t xml:space="preserve"> under annual </w:t>
      </w:r>
      <w:r w:rsidRPr="00234D8E">
        <w:rPr>
          <w:i/>
        </w:rPr>
        <w:t>Statement</w:t>
      </w:r>
      <w:r>
        <w:rPr>
          <w:i/>
        </w:rPr>
        <w:t>s</w:t>
      </w:r>
      <w:r w:rsidRPr="00234D8E">
        <w:rPr>
          <w:i/>
        </w:rPr>
        <w:t xml:space="preserve"> of priorities</w:t>
      </w:r>
      <w:r w:rsidRPr="006100CF">
        <w:t xml:space="preserve"> or health service agreements to deliver services from property owned </w:t>
      </w:r>
      <w:r>
        <w:t xml:space="preserve">or controlled </w:t>
      </w:r>
      <w:r w:rsidRPr="006100CF">
        <w:t>by either the department or by the entity.</w:t>
      </w:r>
      <w:r>
        <w:t xml:space="preserve"> The department also supports the administration of non-funded public entities, such as cemetery trusts, to meet legislative requirements and to deliver services expected of the health portfolio. </w:t>
      </w:r>
    </w:p>
    <w:p w14:paraId="3D712D74" w14:textId="77777777" w:rsidR="005E7112" w:rsidRDefault="005E7112" w:rsidP="005E7112">
      <w:pPr>
        <w:pStyle w:val="DHHSbody"/>
      </w:pPr>
      <w:r>
        <w:t>The public entities in the health portfolio comprise corporate bodies established under the following Victorian legislation:</w:t>
      </w:r>
    </w:p>
    <w:p w14:paraId="39E99C53" w14:textId="77777777" w:rsidR="005E7112" w:rsidRDefault="005E7112" w:rsidP="005E7112">
      <w:pPr>
        <w:pStyle w:val="DHHSbullet1"/>
      </w:pPr>
      <w:r w:rsidRPr="006100CF">
        <w:rPr>
          <w:b/>
        </w:rPr>
        <w:t>Secreta</w:t>
      </w:r>
      <w:r>
        <w:rPr>
          <w:b/>
        </w:rPr>
        <w:t>ry to the Department of Health and</w:t>
      </w:r>
      <w:r w:rsidRPr="006100CF">
        <w:rPr>
          <w:b/>
        </w:rPr>
        <w:t xml:space="preserve"> Human Services</w:t>
      </w:r>
      <w:r>
        <w:t xml:space="preserve"> established under the </w:t>
      </w:r>
      <w:r w:rsidRPr="00234D8E">
        <w:rPr>
          <w:i/>
        </w:rPr>
        <w:t xml:space="preserve">Public Health </w:t>
      </w:r>
      <w:r>
        <w:rPr>
          <w:i/>
        </w:rPr>
        <w:t>and</w:t>
      </w:r>
      <w:r w:rsidRPr="00234D8E">
        <w:rPr>
          <w:i/>
        </w:rPr>
        <w:t xml:space="preserve"> Wellbeing Act 2008</w:t>
      </w:r>
      <w:r>
        <w:t xml:space="preserve"> (Vic)</w:t>
      </w:r>
    </w:p>
    <w:p w14:paraId="521EE62E" w14:textId="77777777" w:rsidR="005E7112" w:rsidRDefault="005E7112" w:rsidP="005E7112">
      <w:pPr>
        <w:pStyle w:val="DHHSbullet1"/>
      </w:pPr>
      <w:r>
        <w:rPr>
          <w:b/>
        </w:rPr>
        <w:t>p</w:t>
      </w:r>
      <w:r w:rsidRPr="006100CF">
        <w:rPr>
          <w:b/>
        </w:rPr>
        <w:t xml:space="preserve">ublic </w:t>
      </w:r>
      <w:r>
        <w:rPr>
          <w:b/>
        </w:rPr>
        <w:t>h</w:t>
      </w:r>
      <w:r w:rsidRPr="006100CF">
        <w:rPr>
          <w:b/>
        </w:rPr>
        <w:t xml:space="preserve">ealth </w:t>
      </w:r>
      <w:r>
        <w:rPr>
          <w:b/>
        </w:rPr>
        <w:t>s</w:t>
      </w:r>
      <w:r w:rsidRPr="006100CF">
        <w:rPr>
          <w:b/>
        </w:rPr>
        <w:t>ervices</w:t>
      </w:r>
      <w:r>
        <w:t xml:space="preserve"> established under the </w:t>
      </w:r>
      <w:r w:rsidRPr="00234D8E">
        <w:rPr>
          <w:i/>
        </w:rPr>
        <w:t>Health Services Act 1988</w:t>
      </w:r>
      <w:r>
        <w:t xml:space="preserve"> (Vic)</w:t>
      </w:r>
    </w:p>
    <w:p w14:paraId="06715E3D" w14:textId="77777777" w:rsidR="005E7112" w:rsidRDefault="005E7112" w:rsidP="005E7112">
      <w:pPr>
        <w:pStyle w:val="DHHSbullet1"/>
      </w:pPr>
      <w:r w:rsidRPr="006100CF">
        <w:rPr>
          <w:b/>
        </w:rPr>
        <w:t>Ambulance Victoria</w:t>
      </w:r>
      <w:r>
        <w:t xml:space="preserve"> established under the </w:t>
      </w:r>
      <w:r w:rsidRPr="00234D8E">
        <w:rPr>
          <w:i/>
        </w:rPr>
        <w:t>Ambulance Services Act 1986</w:t>
      </w:r>
      <w:r>
        <w:t xml:space="preserve"> (Vic)</w:t>
      </w:r>
    </w:p>
    <w:p w14:paraId="4638F060" w14:textId="77777777" w:rsidR="005E7112" w:rsidRDefault="005E7112" w:rsidP="005E7112">
      <w:pPr>
        <w:pStyle w:val="DHHSbullet1"/>
      </w:pPr>
      <w:r>
        <w:t>Forensicare (</w:t>
      </w:r>
      <w:r w:rsidRPr="001014DE">
        <w:t>Victorian Institute of Forensic Mental Health)</w:t>
      </w:r>
      <w:r>
        <w:t xml:space="preserve"> established under the </w:t>
      </w:r>
      <w:r>
        <w:rPr>
          <w:i/>
        </w:rPr>
        <w:t>Mental Health Act 2014</w:t>
      </w:r>
      <w:r w:rsidRPr="00614376">
        <w:rPr>
          <w:iCs/>
        </w:rPr>
        <w:t xml:space="preserve"> (Vic)</w:t>
      </w:r>
    </w:p>
    <w:p w14:paraId="116A5EC8" w14:textId="77777777" w:rsidR="005E7112" w:rsidRDefault="005E7112" w:rsidP="005E7112">
      <w:pPr>
        <w:pStyle w:val="DHHSbullet1"/>
      </w:pPr>
      <w:r>
        <w:rPr>
          <w:b/>
        </w:rPr>
        <w:t>c</w:t>
      </w:r>
      <w:r w:rsidRPr="006100CF">
        <w:rPr>
          <w:b/>
        </w:rPr>
        <w:t xml:space="preserve">emetery </w:t>
      </w:r>
      <w:r>
        <w:rPr>
          <w:b/>
        </w:rPr>
        <w:t>t</w:t>
      </w:r>
      <w:r w:rsidRPr="006100CF">
        <w:rPr>
          <w:b/>
        </w:rPr>
        <w:t>rusts</w:t>
      </w:r>
      <w:r>
        <w:t xml:space="preserve"> established under the </w:t>
      </w:r>
      <w:r w:rsidRPr="00234D8E">
        <w:rPr>
          <w:i/>
        </w:rPr>
        <w:t>Cemeteries and Crematoria Act 2003</w:t>
      </w:r>
      <w:r>
        <w:rPr>
          <w:i/>
        </w:rPr>
        <w:t xml:space="preserve"> </w:t>
      </w:r>
      <w:r w:rsidRPr="00026CBA">
        <w:t>(Vic)</w:t>
      </w:r>
      <w:r>
        <w:t>.</w:t>
      </w:r>
    </w:p>
    <w:p w14:paraId="38C2D235" w14:textId="77777777" w:rsidR="005E7112" w:rsidRDefault="005E7112" w:rsidP="00614376">
      <w:pPr>
        <w:pStyle w:val="DHHSbodyafterbullets"/>
      </w:pPr>
      <w:r>
        <w:t>As corporate bodies, health portfolio public entities may occupy and manage Crown land and may purchase, lease</w:t>
      </w:r>
      <w:r w:rsidR="00614376">
        <w:t xml:space="preserve"> or </w:t>
      </w:r>
      <w:r>
        <w:t>license and sell freehold land subject to any restrictions in their enabling legislation, procedural guidelines and government funding.</w:t>
      </w:r>
    </w:p>
    <w:p w14:paraId="250713E5" w14:textId="77777777" w:rsidR="005E7112" w:rsidRDefault="005E7112" w:rsidP="005E7112">
      <w:pPr>
        <w:pStyle w:val="Heading2"/>
      </w:pPr>
      <w:bookmarkStart w:id="10" w:name="_Toc489625186"/>
      <w:bookmarkStart w:id="11" w:name="_Toc42254569"/>
      <w:r>
        <w:t>Role of the Property team</w:t>
      </w:r>
      <w:bookmarkEnd w:id="10"/>
      <w:bookmarkEnd w:id="11"/>
    </w:p>
    <w:p w14:paraId="1B930D76" w14:textId="77777777" w:rsidR="005E7112" w:rsidRDefault="005E7112" w:rsidP="005E7112">
      <w:pPr>
        <w:pStyle w:val="DHHSbody"/>
      </w:pPr>
      <w:r>
        <w:t>The Property team is a business unit within the Victorian Health and Human Services Building Authority reporting to the Assistant Director, Asset Strategy.</w:t>
      </w:r>
      <w:r w:rsidR="00614376">
        <w:t xml:space="preserve"> </w:t>
      </w:r>
      <w:r>
        <w:t xml:space="preserve">The Property team provides expertise in the areas of property acquisitions, divestments, leasing, licensing, town planning, strategic advice, project facilitation, property management and advisory services. </w:t>
      </w:r>
    </w:p>
    <w:p w14:paraId="73783677" w14:textId="77777777" w:rsidR="005E7112" w:rsidRDefault="005E7112" w:rsidP="005E7112">
      <w:pPr>
        <w:pStyle w:val="Heading2"/>
      </w:pPr>
      <w:bookmarkStart w:id="12" w:name="_Toc489625187"/>
      <w:bookmarkStart w:id="13" w:name="_Toc42254570"/>
      <w:r>
        <w:t>Professional services</w:t>
      </w:r>
      <w:bookmarkEnd w:id="12"/>
      <w:bookmarkEnd w:id="13"/>
    </w:p>
    <w:p w14:paraId="65CE61D3" w14:textId="77777777" w:rsidR="005E7112" w:rsidRDefault="005E7112" w:rsidP="005E7112">
      <w:pPr>
        <w:pStyle w:val="DHHSbody"/>
      </w:pPr>
      <w:proofErr w:type="gramStart"/>
      <w:r>
        <w:t>A number of</w:t>
      </w:r>
      <w:proofErr w:type="gramEnd"/>
      <w:r>
        <w:t xml:space="preserve"> professional service providers including other government departments and private sector providers are required in order to successfully deliver property-related services. A list of relevant services is at Appendix 2.</w:t>
      </w:r>
    </w:p>
    <w:p w14:paraId="398BB963" w14:textId="77777777" w:rsidR="005E7112" w:rsidRDefault="005E7112" w:rsidP="005E7112">
      <w:pPr>
        <w:pStyle w:val="DHHSbody"/>
      </w:pPr>
      <w:r>
        <w:t xml:space="preserve">A whole-of-government Legal Services Panel has been established by the Department of Justice and Regulation to provide legal services to government agencies and public entities. Use of the panel is a mandatory requirement for government departments. It is strongly encouraged for public entities also use this panel, or legal services firms with specialist property experience within the health sector. </w:t>
      </w:r>
    </w:p>
    <w:p w14:paraId="4053EDB8" w14:textId="77777777" w:rsidR="005E7112" w:rsidRDefault="005E7112" w:rsidP="005E7112">
      <w:pPr>
        <w:pStyle w:val="DHHSbody"/>
      </w:pPr>
      <w:r>
        <w:t xml:space="preserve">The legal panel members are available </w:t>
      </w:r>
      <w:r w:rsidR="00614376">
        <w:t xml:space="preserve">on the </w:t>
      </w:r>
      <w:hyperlink r:id="rId26" w:history="1">
        <w:r w:rsidR="00614376" w:rsidRPr="00614376">
          <w:rPr>
            <w:rStyle w:val="Hyperlink"/>
          </w:rPr>
          <w:t>Legal services panel contract page</w:t>
        </w:r>
      </w:hyperlink>
      <w:r w:rsidR="00614376">
        <w:t xml:space="preserve"> of the Buying for Victoria website &lt;</w:t>
      </w:r>
      <w:r w:rsidR="00614376" w:rsidRPr="00614376">
        <w:t xml:space="preserve"> https://www.buyingfor.vic.gov.au/legal-services-panel-contract</w:t>
      </w:r>
      <w:r w:rsidR="00614376">
        <w:t>&gt;.</w:t>
      </w:r>
    </w:p>
    <w:p w14:paraId="6ED3951E" w14:textId="77777777" w:rsidR="005E7112" w:rsidRDefault="005E7112" w:rsidP="005E7112">
      <w:pPr>
        <w:pStyle w:val="DHHSbody"/>
      </w:pPr>
      <w:r>
        <w:t xml:space="preserve">Where specific or more comprehensive legal advice is required, the matter should be referred to the department’s Legal Services </w:t>
      </w:r>
      <w:r w:rsidR="00614376">
        <w:t>b</w:t>
      </w:r>
      <w:r>
        <w:t xml:space="preserve">ranch for advice. </w:t>
      </w:r>
    </w:p>
    <w:p w14:paraId="460C819B" w14:textId="77777777" w:rsidR="005E7112" w:rsidRDefault="005E7112" w:rsidP="00614376">
      <w:pPr>
        <w:pStyle w:val="Heading2"/>
      </w:pPr>
      <w:bookmarkStart w:id="14" w:name="_Toc489625188"/>
      <w:bookmarkStart w:id="15" w:name="_Toc42254571"/>
      <w:r>
        <w:lastRenderedPageBreak/>
        <w:t xml:space="preserve">Asset </w:t>
      </w:r>
      <w:r w:rsidR="00614376">
        <w:t xml:space="preserve">register and landholding </w:t>
      </w:r>
      <w:r w:rsidR="00614376" w:rsidRPr="00614376">
        <w:t>dataset</w:t>
      </w:r>
      <w:bookmarkEnd w:id="14"/>
      <w:bookmarkEnd w:id="15"/>
    </w:p>
    <w:p w14:paraId="68D4EBC0" w14:textId="77777777" w:rsidR="005E7112" w:rsidRDefault="005E7112" w:rsidP="005E7112">
      <w:pPr>
        <w:pStyle w:val="DHHSbody"/>
      </w:pPr>
      <w:r>
        <w:t xml:space="preserve">Health portfolio public entity boards are accountable for the planning, management and performance of assets under their control and must develop an appropriate asset register, if it does not already exist. Property assets must be identified and classified </w:t>
      </w:r>
      <w:r w:rsidR="00614376">
        <w:t>in line with</w:t>
      </w:r>
      <w:r>
        <w:t xml:space="preserve"> the </w:t>
      </w:r>
      <w:r w:rsidRPr="00E9509E">
        <w:rPr>
          <w:i/>
        </w:rPr>
        <w:t xml:space="preserve">Victorian Government </w:t>
      </w:r>
      <w:r>
        <w:rPr>
          <w:i/>
        </w:rPr>
        <w:t>l</w:t>
      </w:r>
      <w:r w:rsidRPr="00E9509E">
        <w:rPr>
          <w:i/>
        </w:rPr>
        <w:t xml:space="preserve">andholding </w:t>
      </w:r>
      <w:r>
        <w:rPr>
          <w:i/>
        </w:rPr>
        <w:t>p</w:t>
      </w:r>
      <w:r w:rsidRPr="00E9509E">
        <w:rPr>
          <w:i/>
        </w:rPr>
        <w:t xml:space="preserve">olicy and </w:t>
      </w:r>
      <w:r>
        <w:rPr>
          <w:i/>
        </w:rPr>
        <w:t>g</w:t>
      </w:r>
      <w:r w:rsidRPr="00E9509E">
        <w:rPr>
          <w:i/>
        </w:rPr>
        <w:t>uidelines</w:t>
      </w:r>
      <w:r>
        <w:t xml:space="preserve"> minimum property dataset and accounted in the annual financial statements </w:t>
      </w:r>
      <w:r w:rsidR="00614376">
        <w:t>in line with</w:t>
      </w:r>
      <w:r>
        <w:t xml:space="preserve"> </w:t>
      </w:r>
      <w:r w:rsidRPr="00234D8E">
        <w:rPr>
          <w:i/>
        </w:rPr>
        <w:t>Financial Reporting Direction 103E</w:t>
      </w:r>
      <w:r>
        <w:t>.</w:t>
      </w:r>
    </w:p>
    <w:p w14:paraId="4B6519CA" w14:textId="77777777" w:rsidR="005E7112" w:rsidRDefault="005E7112" w:rsidP="005E7112">
      <w:pPr>
        <w:pStyle w:val="DHHSbody"/>
      </w:pPr>
      <w:r w:rsidRPr="001014DE">
        <w:t xml:space="preserve">The Asset </w:t>
      </w:r>
      <w:r w:rsidR="000C5510" w:rsidRPr="001014DE">
        <w:t xml:space="preserve">management accountability framework </w:t>
      </w:r>
      <w:r w:rsidRPr="001014DE">
        <w:t>is the Victorian Government’s policy framework for asset management.</w:t>
      </w:r>
      <w:r w:rsidR="00614376">
        <w:t xml:space="preserve"> </w:t>
      </w:r>
      <w:r w:rsidRPr="001014DE">
        <w:t xml:space="preserve">It details mandatory asset management requirements as well as general guidance for agencies responsible for managing assets. Further information can be found at </w:t>
      </w:r>
      <w:hyperlink r:id="rId27" w:history="1">
        <w:r w:rsidR="000C5510">
          <w:rPr>
            <w:rStyle w:val="Hyperlink"/>
          </w:rPr>
          <w:t>A</w:t>
        </w:r>
        <w:r w:rsidR="000C5510" w:rsidRPr="00027870">
          <w:rPr>
            <w:rStyle w:val="Hyperlink"/>
          </w:rPr>
          <w:t>sset management accountability framework</w:t>
        </w:r>
      </w:hyperlink>
      <w:r w:rsidR="000C5510">
        <w:t xml:space="preserve"> &lt;</w:t>
      </w:r>
      <w:r w:rsidR="000C5510" w:rsidRPr="00027870">
        <w:t>https://www.dtf.vic.gov.au/infrastructure-investment/asset-management-accountability-framework</w:t>
      </w:r>
      <w:r w:rsidR="000C5510">
        <w:t>&gt;.</w:t>
      </w:r>
    </w:p>
    <w:p w14:paraId="009B2996" w14:textId="77777777" w:rsidR="000C5510" w:rsidRDefault="005E7112" w:rsidP="005E7112">
      <w:pPr>
        <w:pStyle w:val="DHHSbody"/>
      </w:pPr>
      <w:r>
        <w:t xml:space="preserve">The </w:t>
      </w:r>
      <w:r w:rsidR="00614376">
        <w:t xml:space="preserve">following </w:t>
      </w:r>
      <w:r>
        <w:t>figure outlines the key stages of the asset lifecycle</w:t>
      </w:r>
      <w:r w:rsidRPr="003B795C">
        <w:rPr>
          <w:i/>
        </w:rPr>
        <w:t xml:space="preserve"> </w:t>
      </w:r>
      <w:r>
        <w:t>together with the considerations public health entities should make to realise the full value of assets when delivering services.</w:t>
      </w:r>
    </w:p>
    <w:p w14:paraId="5B9712BE" w14:textId="14E26F51" w:rsidR="000C5510" w:rsidRDefault="000C5510" w:rsidP="000C5510">
      <w:pPr>
        <w:pStyle w:val="DHHSfigurecaption"/>
      </w:pPr>
      <w:r>
        <w:t xml:space="preserve">Figure </w:t>
      </w:r>
      <w:fldSimple w:instr=" SEQ Figure \* ARABIC ">
        <w:r w:rsidR="000479E3">
          <w:rPr>
            <w:noProof/>
          </w:rPr>
          <w:t>1</w:t>
        </w:r>
      </w:fldSimple>
      <w:r>
        <w:t>: Asset lifecycle</w:t>
      </w:r>
    </w:p>
    <w:p w14:paraId="4DB6E627" w14:textId="30C9B459" w:rsidR="005E7112" w:rsidRPr="00D848E4" w:rsidRDefault="00E678AC" w:rsidP="005E7112">
      <w:pPr>
        <w:pStyle w:val="DHHSbody"/>
      </w:pPr>
      <w:r>
        <w:rPr>
          <w:noProof/>
        </w:rPr>
        <w:drawing>
          <wp:inline distT="0" distB="0" distL="0" distR="0" wp14:anchorId="4518857C" wp14:editId="19FF42C0">
            <wp:extent cx="5738125" cy="4505325"/>
            <wp:effectExtent l="0" t="0" r="0" b="0"/>
            <wp:docPr id="11" name="Picture 11" descr="Key stages of the asset management lifecycle. See Appendix 6 for imag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et management diagram.png"/>
                    <pic:cNvPicPr/>
                  </pic:nvPicPr>
                  <pic:blipFill rotWithShape="1">
                    <a:blip r:embed="rId28"/>
                    <a:srcRect l="8389" t="26916" r="9012" b="27236"/>
                    <a:stretch/>
                  </pic:blipFill>
                  <pic:spPr bwMode="auto">
                    <a:xfrm>
                      <a:off x="0" y="0"/>
                      <a:ext cx="5739874" cy="4506698"/>
                    </a:xfrm>
                    <a:prstGeom prst="rect">
                      <a:avLst/>
                    </a:prstGeom>
                    <a:ln>
                      <a:noFill/>
                    </a:ln>
                    <a:extLst>
                      <a:ext uri="{53640926-AAD7-44D8-BBD7-CCE9431645EC}">
                        <a14:shadowObscured xmlns:a14="http://schemas.microsoft.com/office/drawing/2010/main"/>
                      </a:ext>
                    </a:extLst>
                  </pic:spPr>
                </pic:pic>
              </a:graphicData>
            </a:graphic>
          </wp:inline>
        </w:drawing>
      </w:r>
    </w:p>
    <w:p w14:paraId="7CA85762" w14:textId="0AED97D6" w:rsidR="005E7112" w:rsidRDefault="005E7112" w:rsidP="00577484">
      <w:pPr>
        <w:pStyle w:val="DHHStablefigurenote"/>
      </w:pPr>
      <w:r w:rsidRPr="00577484">
        <w:rPr>
          <w:b/>
          <w:bCs/>
        </w:rPr>
        <w:t>Source</w:t>
      </w:r>
      <w:r>
        <w:t>:</w:t>
      </w:r>
      <w:r w:rsidR="00B3438C">
        <w:t xml:space="preserve"> </w:t>
      </w:r>
      <w:hyperlink r:id="rId29" w:history="1">
        <w:r w:rsidR="00B3438C">
          <w:rPr>
            <w:rStyle w:val="Hyperlink"/>
          </w:rPr>
          <w:t>A</w:t>
        </w:r>
        <w:r w:rsidR="00B3438C" w:rsidRPr="00027870">
          <w:rPr>
            <w:rStyle w:val="Hyperlink"/>
          </w:rPr>
          <w:t>sset management accountability framework</w:t>
        </w:r>
      </w:hyperlink>
      <w:r w:rsidR="00B3438C">
        <w:t xml:space="preserve"> &lt;</w:t>
      </w:r>
      <w:r w:rsidR="00B3438C" w:rsidRPr="00027870">
        <w:t>https://www.dtf.vic.gov.au/infrastructure-investment/asset-management-accountability-framework</w:t>
      </w:r>
      <w:r w:rsidR="00B3438C">
        <w:t>&gt;</w:t>
      </w:r>
      <w:r w:rsidR="00B3438C" w:rsidDel="00B3438C">
        <w:t xml:space="preserve"> </w:t>
      </w:r>
    </w:p>
    <w:p w14:paraId="612D360C" w14:textId="77777777" w:rsidR="005E7112" w:rsidRPr="00B13241" w:rsidRDefault="005E7112" w:rsidP="005E7112">
      <w:pPr>
        <w:pStyle w:val="Heading1"/>
      </w:pPr>
      <w:bookmarkStart w:id="16" w:name="_Toc489625189"/>
      <w:r>
        <w:br w:type="page"/>
      </w:r>
      <w:bookmarkStart w:id="17" w:name="_Toc42254572"/>
      <w:r>
        <w:lastRenderedPageBreak/>
        <w:t>Part 2: Land acquisition process</w:t>
      </w:r>
      <w:bookmarkEnd w:id="16"/>
      <w:bookmarkEnd w:id="17"/>
    </w:p>
    <w:p w14:paraId="1E7F567C" w14:textId="5E9D7EEF" w:rsidR="005E7112" w:rsidRPr="00577484" w:rsidRDefault="005E7112" w:rsidP="00B3438C">
      <w:pPr>
        <w:pStyle w:val="DHHSbody"/>
      </w:pPr>
      <w:r w:rsidRPr="00B3438C">
        <w:t xml:space="preserve">Land may be acquired by public process or private negotiation and </w:t>
      </w:r>
      <w:r w:rsidRPr="00577484">
        <w:rPr>
          <w:b/>
          <w:bCs/>
        </w:rPr>
        <w:t>must comply with the Victorian Government land transactions policy and guidelines</w:t>
      </w:r>
      <w:r w:rsidRPr="00577484">
        <w:t>.</w:t>
      </w:r>
      <w:r w:rsidRPr="00410EC7">
        <w:t xml:space="preserve"> </w:t>
      </w:r>
      <w:r w:rsidR="00B3438C">
        <w:t>See</w:t>
      </w:r>
      <w:r w:rsidR="006B6EDA">
        <w:t xml:space="preserve"> the</w:t>
      </w:r>
      <w:r w:rsidR="00B3438C">
        <w:t xml:space="preserve"> </w:t>
      </w:r>
      <w:hyperlink r:id="rId30" w:history="1">
        <w:r w:rsidR="00B3438C" w:rsidRPr="00E12732">
          <w:rPr>
            <w:rStyle w:val="Hyperlink"/>
          </w:rPr>
          <w:t>Victorian Government Land Monitor page</w:t>
        </w:r>
      </w:hyperlink>
      <w:r w:rsidR="00B3438C">
        <w:t xml:space="preserve"> &lt;</w:t>
      </w:r>
      <w:r w:rsidR="00B3438C" w:rsidRPr="00125FB7">
        <w:t>https://www.propertyandlandtitles.vic.gov.au/vglm</w:t>
      </w:r>
      <w:r w:rsidR="00B3438C">
        <w:t>&gt;.</w:t>
      </w:r>
    </w:p>
    <w:p w14:paraId="16258AA6" w14:textId="77777777" w:rsidR="005E7112" w:rsidRPr="003271DC" w:rsidRDefault="005E7112" w:rsidP="005E7112">
      <w:pPr>
        <w:pStyle w:val="Heading2"/>
      </w:pPr>
      <w:bookmarkStart w:id="18" w:name="_Toc489625190"/>
      <w:bookmarkStart w:id="19" w:name="_Toc42254573"/>
      <w:r>
        <w:t>Process requirements</w:t>
      </w:r>
      <w:bookmarkEnd w:id="18"/>
      <w:bookmarkEnd w:id="19"/>
    </w:p>
    <w:p w14:paraId="3944AD3D" w14:textId="77777777" w:rsidR="005E7112" w:rsidRDefault="005E7112" w:rsidP="005E7112">
      <w:pPr>
        <w:pStyle w:val="DHHSbody"/>
      </w:pPr>
      <w:r>
        <w:t xml:space="preserve">In </w:t>
      </w:r>
      <w:r w:rsidR="00614376">
        <w:t>line</w:t>
      </w:r>
      <w:r>
        <w:t xml:space="preserve"> with the </w:t>
      </w:r>
      <w:r w:rsidRPr="00577484">
        <w:rPr>
          <w:iCs/>
        </w:rPr>
        <w:t>Victorian Government landholding policy</w:t>
      </w:r>
      <w:r>
        <w:t>, property asset management decisions and activities must be fully integrated with corporate business plans and service needs.</w:t>
      </w:r>
    </w:p>
    <w:p w14:paraId="1AB6DA13" w14:textId="6C55F06A" w:rsidR="005E7112" w:rsidRDefault="005E7112" w:rsidP="005E7112">
      <w:pPr>
        <w:pStyle w:val="DHHSbody"/>
      </w:pPr>
      <w:r>
        <w:t xml:space="preserve">This section details the transactional process and should be used once service planning and </w:t>
      </w:r>
      <w:r w:rsidR="00B3438C">
        <w:t>master planning</w:t>
      </w:r>
      <w:r>
        <w:t xml:space="preserve"> processes have been completed and the project approved.</w:t>
      </w:r>
    </w:p>
    <w:p w14:paraId="73D8C75E" w14:textId="37F4FABC" w:rsidR="005E7112" w:rsidRDefault="00B3438C" w:rsidP="005E7112">
      <w:pPr>
        <w:pStyle w:val="DHHSbody"/>
      </w:pPr>
      <w:r>
        <w:t>Regarding</w:t>
      </w:r>
      <w:r w:rsidR="005E7112">
        <w:t xml:space="preserve"> cemetery trusts, this section should be employed once a full business case has been endorsed by the department’s Cemeteries and Crematoria Unit. </w:t>
      </w:r>
    </w:p>
    <w:p w14:paraId="5E655164" w14:textId="77777777" w:rsidR="005E7112" w:rsidRDefault="005E7112" w:rsidP="005E7112">
      <w:pPr>
        <w:pStyle w:val="DHHSbody"/>
      </w:pPr>
      <w:r w:rsidRPr="001014DE">
        <w:t xml:space="preserve">Where State budget or departmental funding is allocated for acquisition of land, the </w:t>
      </w:r>
      <w:r>
        <w:t>purchase</w:t>
      </w:r>
      <w:r w:rsidRPr="001014DE">
        <w:t xml:space="preserve"> will be </w:t>
      </w:r>
      <w:r>
        <w:t>managed</w:t>
      </w:r>
      <w:r w:rsidRPr="001014DE">
        <w:t xml:space="preserve"> by the Property t</w:t>
      </w:r>
      <w:r>
        <w:t>eam and owned by the Secretary.</w:t>
      </w:r>
      <w:r w:rsidRPr="001014DE">
        <w:t xml:space="preserve"> Occupation </w:t>
      </w:r>
      <w:r>
        <w:t xml:space="preserve">of the land </w:t>
      </w:r>
      <w:r w:rsidRPr="001014DE">
        <w:t>will be formalised through a lease.</w:t>
      </w:r>
      <w:r w:rsidR="00614376">
        <w:t xml:space="preserve"> </w:t>
      </w:r>
      <w:r>
        <w:t>Refer to Part 5.</w:t>
      </w:r>
      <w:r w:rsidR="00614376">
        <w:t xml:space="preserve"> </w:t>
      </w:r>
    </w:p>
    <w:p w14:paraId="6FF04710" w14:textId="77777777" w:rsidR="005E7112" w:rsidRDefault="005E7112" w:rsidP="005E7112">
      <w:pPr>
        <w:pStyle w:val="DHHSbody"/>
      </w:pPr>
      <w:r>
        <w:t>The process is tailored for each individual project depending on the project requirements and is broadly covered by the following steps:</w:t>
      </w:r>
    </w:p>
    <w:p w14:paraId="6FE31391" w14:textId="662E1A98" w:rsidR="005E7112" w:rsidRPr="00B3438C" w:rsidRDefault="005E7112" w:rsidP="00577484">
      <w:pPr>
        <w:pStyle w:val="DHHSnumberdigitindent"/>
      </w:pPr>
      <w:r w:rsidRPr="00B3438C">
        <w:t>Identify the p</w:t>
      </w:r>
      <w:r w:rsidRPr="00410EC7">
        <w:t>roperty asset</w:t>
      </w:r>
      <w:r w:rsidRPr="00B3438C">
        <w:t xml:space="preserve"> or land parcel required to meet service delivery outcomes.</w:t>
      </w:r>
    </w:p>
    <w:p w14:paraId="75728B19" w14:textId="77777777" w:rsidR="005E7112" w:rsidRPr="00B3438C" w:rsidRDefault="005E7112" w:rsidP="00577484">
      <w:pPr>
        <w:pStyle w:val="DHHSnumberdigitindent"/>
      </w:pPr>
      <w:r w:rsidRPr="00B3438C">
        <w:t>Undertake due diligence investigations: legal, contamination, environmental, heritage, town planning, site services, traffic management, geo-technical and site survey.</w:t>
      </w:r>
    </w:p>
    <w:p w14:paraId="464F2DCD" w14:textId="77777777" w:rsidR="005E7112" w:rsidRPr="00B3438C" w:rsidRDefault="005E7112" w:rsidP="00577484">
      <w:pPr>
        <w:pStyle w:val="DHHSnumberdigitindent"/>
      </w:pPr>
      <w:r w:rsidRPr="00B3438C">
        <w:t>Obtain in-principle approval and commitment of funds from relevant financial delegate.</w:t>
      </w:r>
    </w:p>
    <w:p w14:paraId="669CE4B7" w14:textId="77777777" w:rsidR="005E7112" w:rsidRPr="00B3438C" w:rsidRDefault="005E7112" w:rsidP="00577484">
      <w:pPr>
        <w:pStyle w:val="DHHSnumberdigitindent"/>
      </w:pPr>
      <w:r w:rsidRPr="00B3438C">
        <w:t>Where properties are listed for sale on the open market, register interest and commence negotiations (refer to points 6 and 7).</w:t>
      </w:r>
    </w:p>
    <w:p w14:paraId="793EF84E" w14:textId="620E1527" w:rsidR="005E7112" w:rsidRPr="00B3438C" w:rsidRDefault="005E7112" w:rsidP="00577484">
      <w:pPr>
        <w:pStyle w:val="DHHSnumberdigitindent"/>
      </w:pPr>
      <w:r w:rsidRPr="00B3438C">
        <w:t xml:space="preserve">Complete Valuer-General instruction form and </w:t>
      </w:r>
      <w:r w:rsidR="00B3438C">
        <w:t>email it</w:t>
      </w:r>
      <w:r w:rsidR="00B3438C" w:rsidRPr="00410EC7">
        <w:t xml:space="preserve"> </w:t>
      </w:r>
      <w:r w:rsidRPr="00B3438C">
        <w:t>to Manager</w:t>
      </w:r>
      <w:r w:rsidR="006B6EDA">
        <w:t>, Property</w:t>
      </w:r>
      <w:r w:rsidRPr="00B3438C">
        <w:t xml:space="preserve"> at </w:t>
      </w:r>
      <w:hyperlink r:id="rId31" w:history="1">
        <w:r w:rsidRPr="00577484">
          <w:rPr>
            <w:rStyle w:val="Hyperlink"/>
            <w:color w:val="auto"/>
            <w:u w:val="none"/>
          </w:rPr>
          <w:t>capital@dhhs.vic.gov.au</w:t>
        </w:r>
      </w:hyperlink>
      <w:r w:rsidRPr="00410EC7">
        <w:t xml:space="preserve"> </w:t>
      </w:r>
      <w:r w:rsidRPr="00B3438C">
        <w:t>to facilitate valuation advice.</w:t>
      </w:r>
      <w:r w:rsidR="00614376" w:rsidRPr="00B3438C">
        <w:t xml:space="preserve"> </w:t>
      </w:r>
      <w:r w:rsidRPr="00B3438C">
        <w:t>Where it is anticipated the value of the property is $750,000 or more, the Valuer-General will seek an independent check valuation.</w:t>
      </w:r>
      <w:r w:rsidR="00614376" w:rsidRPr="00B3438C">
        <w:t xml:space="preserve"> </w:t>
      </w:r>
      <w:r w:rsidRPr="00B3438C">
        <w:t xml:space="preserve">(Refer to the </w:t>
      </w:r>
      <w:r w:rsidRPr="00577484">
        <w:t>Victorian</w:t>
      </w:r>
      <w:r w:rsidRPr="00410EC7">
        <w:t xml:space="preserve"> </w:t>
      </w:r>
      <w:r w:rsidRPr="00577484">
        <w:t>Government land transactions policy and guidelines</w:t>
      </w:r>
      <w:r w:rsidR="00B3438C" w:rsidRPr="00B3438C">
        <w:t xml:space="preserve"> </w:t>
      </w:r>
      <w:r w:rsidR="00B3438C">
        <w:t xml:space="preserve">Valuer-General request for valuation form is available on DELWP’s </w:t>
      </w:r>
      <w:hyperlink r:id="rId32" w:history="1">
        <w:r w:rsidR="00B3438C" w:rsidRPr="00040AC6">
          <w:rPr>
            <w:rStyle w:val="Hyperlink"/>
          </w:rPr>
          <w:t>Government valuations page</w:t>
        </w:r>
      </w:hyperlink>
      <w:r w:rsidR="00B3438C">
        <w:t xml:space="preserve"> &lt;</w:t>
      </w:r>
      <w:r w:rsidR="00B3438C" w:rsidRPr="00040AC6">
        <w:t>https://www.propertyandlandtitles.vic.gov.au/valuation/government-valuations</w:t>
      </w:r>
      <w:r w:rsidR="00B3438C">
        <w:t>&gt;</w:t>
      </w:r>
      <w:r w:rsidRPr="00410EC7">
        <w:t>.</w:t>
      </w:r>
      <w:r w:rsidR="00B3438C" w:rsidRPr="00B3438C">
        <w:br/>
      </w:r>
      <w:r w:rsidRPr="00B3438C">
        <w:t xml:space="preserve">The department will request valuation advice </w:t>
      </w:r>
      <w:r w:rsidR="00614376" w:rsidRPr="00B3438C">
        <w:t>in line with</w:t>
      </w:r>
      <w:r w:rsidRPr="00B3438C">
        <w:t xml:space="preserve"> the provisions of the </w:t>
      </w:r>
      <w:r w:rsidRPr="00577484">
        <w:t xml:space="preserve">Valuation of Land Act 1960 </w:t>
      </w:r>
      <w:r w:rsidRPr="00410EC7">
        <w:t>(Vic</w:t>
      </w:r>
      <w:r w:rsidRPr="00B3438C">
        <w:t>)</w:t>
      </w:r>
      <w:r w:rsidRPr="00577484">
        <w:t xml:space="preserve"> </w:t>
      </w:r>
      <w:r w:rsidRPr="00410EC7">
        <w:t>as the responsible line agency</w:t>
      </w:r>
      <w:r w:rsidRPr="00B3438C">
        <w:t>.</w:t>
      </w:r>
    </w:p>
    <w:p w14:paraId="7FC8C251" w14:textId="2DAF7208" w:rsidR="005E7112" w:rsidRPr="00B3438C" w:rsidRDefault="005E7112" w:rsidP="00577484">
      <w:pPr>
        <w:pStyle w:val="DHHSnumberdigitindent"/>
      </w:pPr>
      <w:r w:rsidRPr="00B3438C">
        <w:t xml:space="preserve">Where the transaction is $750,000 or more, </w:t>
      </w:r>
      <w:r w:rsidRPr="00577484">
        <w:rPr>
          <w:rStyle w:val="Strong"/>
        </w:rPr>
        <w:t>Government Land Monitor approval must be obtained before submitting an offer or negotiating a purchase price</w:t>
      </w:r>
      <w:r w:rsidRPr="00410EC7">
        <w:t xml:space="preserve">. </w:t>
      </w:r>
      <w:r w:rsidR="00DB31BE" w:rsidRPr="00B3438C">
        <w:t xml:space="preserve">An approval request can be made using </w:t>
      </w:r>
      <w:hyperlink r:id="rId33" w:history="1">
        <w:r w:rsidR="00DB31BE" w:rsidRPr="00577484">
          <w:rPr>
            <w:rStyle w:val="Hyperlink"/>
          </w:rPr>
          <w:t>VGLM Online</w:t>
        </w:r>
      </w:hyperlink>
      <w:r w:rsidR="00DB31BE" w:rsidRPr="00410EC7">
        <w:t xml:space="preserve"> &lt;https://vglm.vic.gov.au&gt;.</w:t>
      </w:r>
    </w:p>
    <w:p w14:paraId="53D3928A" w14:textId="77777777" w:rsidR="005E7112" w:rsidRPr="00410EC7" w:rsidRDefault="005E7112" w:rsidP="00577484">
      <w:pPr>
        <w:pStyle w:val="DHHSnumberdigitindent"/>
      </w:pPr>
      <w:r w:rsidRPr="00B3438C">
        <w:t>Once necessary approvals have been obtained, officers can negotiate a purchase price up to the value determined by the Valuer-General and approved by the Government Land Monitor.</w:t>
      </w:r>
      <w:r w:rsidR="00614376" w:rsidRPr="00B3438C">
        <w:t xml:space="preserve"> </w:t>
      </w:r>
      <w:r w:rsidRPr="00577484">
        <w:t>Land must not be acquired at a price that is greater than the current market value of the land as determined by the Valuer-General Victoria.</w:t>
      </w:r>
    </w:p>
    <w:p w14:paraId="76A98E5F" w14:textId="2BC0B72F" w:rsidR="005E7112" w:rsidRPr="00B3438C" w:rsidRDefault="005E7112" w:rsidP="00577484">
      <w:pPr>
        <w:pStyle w:val="DHHSnumberdigitindent"/>
      </w:pPr>
      <w:r w:rsidRPr="00B3438C">
        <w:t xml:space="preserve">Upon acceptance of the offer, the </w:t>
      </w:r>
      <w:r w:rsidR="006B6EDA" w:rsidRPr="00B3438C">
        <w:t xml:space="preserve">vendor’s </w:t>
      </w:r>
      <w:r w:rsidRPr="00B3438C">
        <w:t xml:space="preserve">solicitor will prepare the </w:t>
      </w:r>
      <w:r w:rsidR="006B6EDA" w:rsidRPr="00B3438C">
        <w:t xml:space="preserve">contract </w:t>
      </w:r>
      <w:r w:rsidRPr="00B3438C">
        <w:t xml:space="preserve">of </w:t>
      </w:r>
      <w:r w:rsidR="006B6EDA" w:rsidRPr="00B3438C">
        <w:t>sale</w:t>
      </w:r>
      <w:r w:rsidRPr="00B3438C">
        <w:t>.</w:t>
      </w:r>
      <w:r w:rsidR="00614376" w:rsidRPr="00B3438C">
        <w:t xml:space="preserve"> </w:t>
      </w:r>
      <w:r w:rsidRPr="00B3438C">
        <w:t xml:space="preserve">Legal advice should be sought on </w:t>
      </w:r>
      <w:r w:rsidR="006B6EDA" w:rsidRPr="00B3438C">
        <w:t xml:space="preserve">contract </w:t>
      </w:r>
      <w:r w:rsidRPr="00B3438C">
        <w:t xml:space="preserve">documentation from either </w:t>
      </w:r>
      <w:r w:rsidR="006B6EDA" w:rsidRPr="00B3438C">
        <w:t xml:space="preserve">corporate counsel </w:t>
      </w:r>
      <w:r w:rsidRPr="00B3438C">
        <w:t xml:space="preserve">or a lawyer from the government’s legal panel in order to identify and minimise exposure to risk. </w:t>
      </w:r>
    </w:p>
    <w:p w14:paraId="61C7D556" w14:textId="250BB530" w:rsidR="005E7112" w:rsidRPr="00B3438C" w:rsidRDefault="005E7112" w:rsidP="00577484">
      <w:pPr>
        <w:pStyle w:val="DHHSnumberdigitindent"/>
      </w:pPr>
      <w:r w:rsidRPr="00B3438C">
        <w:t xml:space="preserve">Financial delegate executes </w:t>
      </w:r>
      <w:r w:rsidR="006B6EDA" w:rsidRPr="00B3438C">
        <w:t xml:space="preserve">contract </w:t>
      </w:r>
      <w:r w:rsidRPr="00B3438C">
        <w:t xml:space="preserve">of </w:t>
      </w:r>
      <w:r w:rsidR="006B6EDA" w:rsidRPr="00B3438C">
        <w:t xml:space="preserve">sale </w:t>
      </w:r>
      <w:r w:rsidRPr="00B3438C">
        <w:t>and settles acquisition.</w:t>
      </w:r>
    </w:p>
    <w:p w14:paraId="4A5023C7" w14:textId="77777777" w:rsidR="005E7112" w:rsidRPr="00B3438C" w:rsidRDefault="005E7112" w:rsidP="00577484">
      <w:pPr>
        <w:pStyle w:val="DHHSnumberdigitindent"/>
      </w:pPr>
      <w:r w:rsidRPr="00B3438C">
        <w:lastRenderedPageBreak/>
        <w:t>Asset register updated.</w:t>
      </w:r>
    </w:p>
    <w:p w14:paraId="7F795378" w14:textId="77777777" w:rsidR="005E7112" w:rsidRDefault="005E7112" w:rsidP="005E7112">
      <w:pPr>
        <w:pStyle w:val="DHHSbody"/>
        <w:rPr>
          <w:rFonts w:eastAsia="MS Mincho"/>
          <w:szCs w:val="24"/>
        </w:rPr>
      </w:pPr>
      <w:r>
        <w:t xml:space="preserve">A checklist to ensure the proper processes are applied to the acquisition of land can be found at Appendix 3. The checklist is for general guidance as the </w:t>
      </w:r>
      <w:r w:rsidRPr="00D973A7">
        <w:rPr>
          <w:rFonts w:eastAsia="MS Mincho"/>
          <w:szCs w:val="24"/>
        </w:rPr>
        <w:t>actual process is tailored for each individual project depending on project requirements</w:t>
      </w:r>
      <w:r>
        <w:rPr>
          <w:rFonts w:eastAsia="MS Mincho"/>
          <w:szCs w:val="24"/>
        </w:rPr>
        <w:t>. It is not mandatory and is provided as a good practice guide to assist officers undertaking acquisition projects.</w:t>
      </w:r>
      <w:bookmarkStart w:id="20" w:name="_Toc422996703"/>
      <w:bookmarkStart w:id="21" w:name="_Toc423333218"/>
    </w:p>
    <w:p w14:paraId="6C841C0D" w14:textId="44523388" w:rsidR="005E7112" w:rsidRDefault="005E7112" w:rsidP="00DB31BE">
      <w:pPr>
        <w:pStyle w:val="DHHSbody"/>
      </w:pPr>
      <w:r>
        <w:t xml:space="preserve">All associated forms and web-links are available on the </w:t>
      </w:r>
      <w:hyperlink r:id="rId34" w:history="1">
        <w:r w:rsidR="00DB31BE" w:rsidRPr="00654481">
          <w:rPr>
            <w:rStyle w:val="Hyperlink"/>
          </w:rPr>
          <w:t>Property management page</w:t>
        </w:r>
      </w:hyperlink>
      <w:r w:rsidR="00DB31BE">
        <w:t xml:space="preserve"> of the Infrastructure Planning and Delivery website &lt;http://www.capital.health.vic.gov.au/Property_Management&gt;.</w:t>
      </w:r>
    </w:p>
    <w:p w14:paraId="2335097F" w14:textId="77777777" w:rsidR="005E7112" w:rsidRDefault="005E7112" w:rsidP="005E7112">
      <w:pPr>
        <w:pStyle w:val="Heading2"/>
        <w:rPr>
          <w:rFonts w:eastAsia="MS Mincho"/>
        </w:rPr>
      </w:pPr>
      <w:bookmarkStart w:id="22" w:name="_Toc489625191"/>
      <w:bookmarkStart w:id="23" w:name="_Toc42254574"/>
      <w:r>
        <w:rPr>
          <w:rFonts w:eastAsia="MS Mincho"/>
        </w:rPr>
        <w:t>Zoning</w:t>
      </w:r>
      <w:bookmarkEnd w:id="22"/>
      <w:bookmarkEnd w:id="23"/>
    </w:p>
    <w:p w14:paraId="44BA20D5" w14:textId="77777777" w:rsidR="005E7112" w:rsidRDefault="005E7112" w:rsidP="005E7112">
      <w:pPr>
        <w:pStyle w:val="DHHSbody"/>
      </w:pPr>
      <w:r>
        <w:t>Upon settlement of an acquisition it is desirable that the land is rezoned Public Use Zone 3 (Health).</w:t>
      </w:r>
      <w:r w:rsidR="00614376">
        <w:t xml:space="preserve"> </w:t>
      </w:r>
      <w:r>
        <w:t>A public use zone ensures the land’s use and public ownership are reflected in the relevant planning scheme and will provide flexibility in carrying out service delivery operations and reduce administrative burden.</w:t>
      </w:r>
    </w:p>
    <w:p w14:paraId="338A6119" w14:textId="635EBC6D" w:rsidR="00DB31BE" w:rsidRDefault="005E7112" w:rsidP="005E7112">
      <w:pPr>
        <w:pStyle w:val="DHHSbody"/>
      </w:pPr>
      <w:r>
        <w:t xml:space="preserve">The process for rezoning land is set down in the </w:t>
      </w:r>
      <w:r w:rsidRPr="00296D4E">
        <w:rPr>
          <w:i/>
        </w:rPr>
        <w:t>Planning and Environment Act 1987</w:t>
      </w:r>
      <w:r>
        <w:t xml:space="preserve"> </w:t>
      </w:r>
      <w:r w:rsidRPr="00ED09A8">
        <w:t xml:space="preserve">(Vic) </w:t>
      </w:r>
      <w:r>
        <w:t>and generally managed by the local Council.</w:t>
      </w:r>
      <w:r w:rsidR="00614376">
        <w:t xml:space="preserve"> </w:t>
      </w:r>
      <w:r>
        <w:t>The steps include:</w:t>
      </w:r>
    </w:p>
    <w:p w14:paraId="5EBBCE21" w14:textId="06494D8F" w:rsidR="00DB31BE" w:rsidRDefault="005E7112" w:rsidP="00DB31BE">
      <w:pPr>
        <w:pStyle w:val="DHHSnumberdigit"/>
      </w:pPr>
      <w:r>
        <w:t xml:space="preserve">requesting an amendment by the local </w:t>
      </w:r>
      <w:r w:rsidR="00DB31BE">
        <w:t>c</w:t>
      </w:r>
      <w:r>
        <w:t>ouncil</w:t>
      </w:r>
    </w:p>
    <w:p w14:paraId="65DF9DDB" w14:textId="07318063" w:rsidR="00DB31BE" w:rsidRDefault="005E7112" w:rsidP="00DB31BE">
      <w:pPr>
        <w:pStyle w:val="DHHSnumberdigit"/>
      </w:pPr>
      <w:r>
        <w:t>authorisation by the Minister for Planning to prepare an amendment to the planning scheme</w:t>
      </w:r>
    </w:p>
    <w:p w14:paraId="4EB7BA8B" w14:textId="11170579" w:rsidR="00DB31BE" w:rsidRDefault="005E7112" w:rsidP="00DB31BE">
      <w:pPr>
        <w:pStyle w:val="DHHSnumberdigit"/>
      </w:pPr>
      <w:r>
        <w:t>preparation of the documentation</w:t>
      </w:r>
    </w:p>
    <w:p w14:paraId="797C341E" w14:textId="3B39AC94" w:rsidR="00DB31BE" w:rsidRDefault="005E7112" w:rsidP="00DB31BE">
      <w:pPr>
        <w:pStyle w:val="DHHSnumberdigit"/>
      </w:pPr>
      <w:r>
        <w:t>public exhibition</w:t>
      </w:r>
    </w:p>
    <w:p w14:paraId="2CE869FF" w14:textId="2E9E7765" w:rsidR="00DB31BE" w:rsidRDefault="005E7112" w:rsidP="00DB31BE">
      <w:pPr>
        <w:pStyle w:val="DHHSnumberdigit"/>
      </w:pPr>
      <w:r>
        <w:t>submissions, panels and advisory committees</w:t>
      </w:r>
    </w:p>
    <w:p w14:paraId="6B37224B" w14:textId="7842E464" w:rsidR="00DB31BE" w:rsidRDefault="005E7112" w:rsidP="00DB31BE">
      <w:pPr>
        <w:pStyle w:val="DHHSnumberdigit"/>
      </w:pPr>
      <w:r>
        <w:t xml:space="preserve">adoption of the amendment by </w:t>
      </w:r>
      <w:r w:rsidR="00DB31BE">
        <w:t>c</w:t>
      </w:r>
      <w:r>
        <w:t>ouncil</w:t>
      </w:r>
    </w:p>
    <w:p w14:paraId="3D2B7C1A" w14:textId="77777777" w:rsidR="005E7112" w:rsidRDefault="005E7112" w:rsidP="00577484">
      <w:pPr>
        <w:pStyle w:val="DHHSnumberdigit"/>
      </w:pPr>
      <w:r>
        <w:t>approval by the Minister for Planning.</w:t>
      </w:r>
    </w:p>
    <w:p w14:paraId="4844B7CE" w14:textId="7A8FDA41" w:rsidR="005E7112" w:rsidRDefault="005E7112" w:rsidP="00577484">
      <w:pPr>
        <w:pStyle w:val="DHHSbodyafterbullets"/>
      </w:pPr>
      <w:r w:rsidRPr="001014DE">
        <w:t xml:space="preserve">The </w:t>
      </w:r>
      <w:r w:rsidR="00DB31BE">
        <w:t xml:space="preserve">Victorian </w:t>
      </w:r>
      <w:r w:rsidRPr="001014DE">
        <w:t xml:space="preserve">Government has established the </w:t>
      </w:r>
      <w:r w:rsidR="00DB31BE">
        <w:t>Government Land Planning Service (formerly the</w:t>
      </w:r>
      <w:r w:rsidR="00DB31BE" w:rsidRPr="001014DE">
        <w:t xml:space="preserve"> Fast Track Government Land Service</w:t>
      </w:r>
      <w:r w:rsidR="00DB31BE">
        <w:t>)</w:t>
      </w:r>
      <w:r w:rsidRPr="001014DE">
        <w:t xml:space="preserve"> to deliver changes to planning provisions</w:t>
      </w:r>
      <w:r>
        <w:t>,</w:t>
      </w:r>
      <w:r w:rsidRPr="001014DE">
        <w:t xml:space="preserve"> or correct planning scheme anomalies for land owned by the Victorian government.</w:t>
      </w:r>
      <w:r w:rsidR="00614376">
        <w:t xml:space="preserve"> </w:t>
      </w:r>
      <w:r w:rsidRPr="001014DE">
        <w:t xml:space="preserve">Health portfolio public entities can apply to </w:t>
      </w:r>
      <w:r w:rsidR="00DB31BE">
        <w:t xml:space="preserve">the Government Land Planning Service </w:t>
      </w:r>
      <w:r w:rsidRPr="001014DE">
        <w:t xml:space="preserve">for assistance with the rezoning process. Further information and application forms are </w:t>
      </w:r>
      <w:r w:rsidR="00DB31BE">
        <w:t xml:space="preserve">on DEWLP’s </w:t>
      </w:r>
      <w:hyperlink r:id="rId35" w:history="1">
        <w:r w:rsidR="00DB31BE" w:rsidRPr="00DB31BE">
          <w:rPr>
            <w:rStyle w:val="Hyperlink"/>
          </w:rPr>
          <w:t>Government Land Planning Service page</w:t>
        </w:r>
      </w:hyperlink>
      <w:r w:rsidR="00DB31BE">
        <w:t xml:space="preserve"> &lt;</w:t>
      </w:r>
      <w:r w:rsidR="00DB31BE" w:rsidRPr="00DB31BE">
        <w:t>https://www.planning.vic.gov.au/policy-and-strategy/government-land-planning-service</w:t>
      </w:r>
      <w:r w:rsidR="00DB31BE">
        <w:t>&gt;.</w:t>
      </w:r>
    </w:p>
    <w:p w14:paraId="0F4C22D2" w14:textId="77777777" w:rsidR="005E7112" w:rsidRDefault="005E7112" w:rsidP="005E7112">
      <w:pPr>
        <w:pStyle w:val="Heading2"/>
      </w:pPr>
      <w:bookmarkStart w:id="24" w:name="_Toc489625192"/>
      <w:bookmarkStart w:id="25" w:name="_Toc42254575"/>
      <w:r>
        <w:t>Land purchased or acquired for the purposes of a public cemetery</w:t>
      </w:r>
      <w:bookmarkEnd w:id="20"/>
      <w:bookmarkEnd w:id="21"/>
      <w:bookmarkEnd w:id="24"/>
      <w:bookmarkEnd w:id="25"/>
    </w:p>
    <w:p w14:paraId="76E0829D" w14:textId="77777777" w:rsidR="005E7112" w:rsidRPr="00F820EC" w:rsidRDefault="005E7112" w:rsidP="005E7112">
      <w:pPr>
        <w:pStyle w:val="DHHSbody"/>
      </w:pPr>
      <w:r>
        <w:t xml:space="preserve">In </w:t>
      </w:r>
      <w:r w:rsidR="00614376">
        <w:t>line</w:t>
      </w:r>
      <w:r>
        <w:t xml:space="preserve"> with the </w:t>
      </w:r>
      <w:r w:rsidRPr="00D474CA">
        <w:t>Cemeteries and Crematoria Act</w:t>
      </w:r>
      <w:r w:rsidRPr="00234D8E">
        <w:t>,</w:t>
      </w:r>
      <w:r>
        <w:rPr>
          <w:i/>
        </w:rPr>
        <w:t xml:space="preserve"> </w:t>
      </w:r>
      <w:r>
        <w:t xml:space="preserve">cemetery trusts must obtain the Minister for Health’s approval to purchase or acquire land. The Minister must not approve the purchase or acquisition unless satisfied that it is necessary or desirable that the land be purchased or acquired for the purposes of a public cemetery and that the cemetery trust has </w:t>
      </w:r>
      <w:proofErr w:type="gramStart"/>
      <w:r>
        <w:t>sufficient</w:t>
      </w:r>
      <w:proofErr w:type="gramEnd"/>
      <w:r>
        <w:t xml:space="preserve"> funds available to purchase or acquire the land.</w:t>
      </w:r>
    </w:p>
    <w:p w14:paraId="1DFFC74F" w14:textId="68C9AAD7" w:rsidR="005E7112" w:rsidRDefault="005E7112" w:rsidP="005E7112">
      <w:pPr>
        <w:pStyle w:val="DHHSbody"/>
      </w:pPr>
      <w:r>
        <w:t xml:space="preserve">Where freehold land is acquired for cemetery/crematorium purposes, </w:t>
      </w:r>
      <w:r w:rsidR="00DB31BE">
        <w:t>s</w:t>
      </w:r>
      <w:r>
        <w:t xml:space="preserve">ections 33 and 34 of the </w:t>
      </w:r>
      <w:r w:rsidRPr="00234D8E">
        <w:t>Cemeteries and Crematoria Act</w:t>
      </w:r>
      <w:r w:rsidRPr="00C415F5">
        <w:rPr>
          <w:i/>
        </w:rPr>
        <w:t xml:space="preserve"> </w:t>
      </w:r>
      <w:r>
        <w:t xml:space="preserve">require that the land vests in the Crown as unalienated Crown land and is deemed to be permanently reserved under Section 4 of the </w:t>
      </w:r>
      <w:r w:rsidRPr="00533B2E">
        <w:rPr>
          <w:i/>
        </w:rPr>
        <w:t>Crown Land (Reserves) Act 1978</w:t>
      </w:r>
      <w:r>
        <w:rPr>
          <w:i/>
        </w:rPr>
        <w:t xml:space="preserve"> </w:t>
      </w:r>
      <w:r w:rsidRPr="00CC1CC6">
        <w:t>(Vic)</w:t>
      </w:r>
      <w:r>
        <w:rPr>
          <w:i/>
        </w:rPr>
        <w:t xml:space="preserve"> </w:t>
      </w:r>
      <w:r>
        <w:t>for cemetery and crematorium purposes. Cemetery trusts should include a special condition in the contract of sale reserving the right to take transfer of the acquired land at settlement in favour of ‘Her Majesty, Queen Elizabeth the Second’.</w:t>
      </w:r>
      <w:r w:rsidR="00614376">
        <w:t xml:space="preserve"> </w:t>
      </w:r>
      <w:r>
        <w:t xml:space="preserve">The transfer form must provide the relevant provisions of the </w:t>
      </w:r>
      <w:r w:rsidRPr="00234D8E">
        <w:t>Cemeteries and Crematoria Act</w:t>
      </w:r>
      <w:r>
        <w:t xml:space="preserve"> under which the land is to be reserved and held. </w:t>
      </w:r>
    </w:p>
    <w:p w14:paraId="788DE85A" w14:textId="77777777" w:rsidR="005E7112" w:rsidRDefault="005E7112" w:rsidP="005E7112">
      <w:pPr>
        <w:pStyle w:val="DHHSbody"/>
      </w:pPr>
      <w:r>
        <w:t>The Property team will ensure that Land Victoria and DELWP are advised on each occasion so that records on the Crown estate can be updated.</w:t>
      </w:r>
    </w:p>
    <w:p w14:paraId="7717CFE9" w14:textId="1BABDB4A" w:rsidR="005E7112" w:rsidRDefault="005E7112" w:rsidP="005E7112">
      <w:pPr>
        <w:pStyle w:val="DHHSbody"/>
      </w:pPr>
      <w:r>
        <w:lastRenderedPageBreak/>
        <w:t xml:space="preserve">Following settlement, the department’s Legal Services </w:t>
      </w:r>
      <w:r w:rsidR="00DB31BE">
        <w:t>b</w:t>
      </w:r>
      <w:r>
        <w:t xml:space="preserve">ranch will seek the approval of the Governor in Council to establish the acquired land as a cemetery or include the additional acquired land as part of an existing cemetery </w:t>
      </w:r>
      <w:r w:rsidR="00614376">
        <w:t>in line with</w:t>
      </w:r>
      <w:r>
        <w:t xml:space="preserve"> Section 4 of the </w:t>
      </w:r>
      <w:r w:rsidRPr="00234D8E">
        <w:t xml:space="preserve">Cemeteries </w:t>
      </w:r>
      <w:r>
        <w:t>and</w:t>
      </w:r>
      <w:r w:rsidRPr="00234D8E">
        <w:t xml:space="preserve"> Crematoria Act</w:t>
      </w:r>
      <w:r>
        <w:rPr>
          <w:i/>
        </w:rPr>
        <w:t>.</w:t>
      </w:r>
    </w:p>
    <w:p w14:paraId="55C9D19C" w14:textId="77777777" w:rsidR="009120E4" w:rsidRPr="00E678AC" w:rsidRDefault="009120E4" w:rsidP="00E678AC">
      <w:pPr>
        <w:pStyle w:val="DHHSbody"/>
      </w:pPr>
      <w:bookmarkStart w:id="26" w:name="_Toc489625193"/>
      <w:r w:rsidRPr="00E678AC">
        <w:br w:type="page"/>
      </w:r>
    </w:p>
    <w:p w14:paraId="67900A5D" w14:textId="492CC68C" w:rsidR="005E7112" w:rsidRPr="00B13241" w:rsidRDefault="005E7112" w:rsidP="005E7112">
      <w:pPr>
        <w:pStyle w:val="Heading1"/>
      </w:pPr>
      <w:bookmarkStart w:id="27" w:name="_Toc42254576"/>
      <w:r>
        <w:lastRenderedPageBreak/>
        <w:t>Part 3: Land divestment process</w:t>
      </w:r>
      <w:bookmarkEnd w:id="26"/>
      <w:bookmarkEnd w:id="27"/>
    </w:p>
    <w:p w14:paraId="1BEA8135" w14:textId="23091121" w:rsidR="005E7112" w:rsidRDefault="005E7112" w:rsidP="005E7112">
      <w:pPr>
        <w:pStyle w:val="DHHSbody"/>
      </w:pPr>
      <w:bookmarkStart w:id="28" w:name="_Toc403741407"/>
      <w:bookmarkStart w:id="29" w:name="_Toc410725708"/>
      <w:bookmarkStart w:id="30" w:name="_Toc422996705"/>
      <w:bookmarkStart w:id="31" w:name="_Toc423333220"/>
      <w:r>
        <w:t>Different divestment methods will be needed for different types of property assets. Before deciding on a particular divestment method, health portfolio public entities should consider the nature of the asset (specialist or common), the potential market value, in continuing or alternative use, and opportunities for uplift (including demolition of improvements/rezoning amendments), as well as other intrinsic values (</w:t>
      </w:r>
      <w:r w:rsidR="00DB31BE">
        <w:t xml:space="preserve">such as </w:t>
      </w:r>
      <w:r>
        <w:t>cultural</w:t>
      </w:r>
      <w:r w:rsidR="00DB31BE">
        <w:t xml:space="preserve"> or </w:t>
      </w:r>
      <w:r>
        <w:t>heritage aspects).</w:t>
      </w:r>
    </w:p>
    <w:p w14:paraId="0E6B858E" w14:textId="77777777" w:rsidR="005E7112" w:rsidRDefault="005E7112" w:rsidP="005E7112">
      <w:pPr>
        <w:pStyle w:val="DHHSbody"/>
        <w:rPr>
          <w:b/>
        </w:rPr>
      </w:pPr>
      <w:r>
        <w:t>The sale of land is governed by various legislative provisions and can depend on the enabling Act of the entity as well as the land tenure (Crown or freehold).</w:t>
      </w:r>
    </w:p>
    <w:p w14:paraId="4DEF4E02" w14:textId="2DE2E68C" w:rsidR="005E7112" w:rsidRPr="00577484" w:rsidRDefault="005E7112" w:rsidP="00040AC6">
      <w:pPr>
        <w:pStyle w:val="DHHSbody"/>
      </w:pPr>
      <w:r w:rsidRPr="00577484">
        <w:rPr>
          <w:rStyle w:val="Strong"/>
        </w:rPr>
        <w:t>All transactions must comply with the Victorian Government land transactions policy and guidelines</w:t>
      </w:r>
      <w:r w:rsidRPr="00577484">
        <w:t>.</w:t>
      </w:r>
      <w:r w:rsidR="00614376" w:rsidRPr="00577484">
        <w:t xml:space="preserve"> </w:t>
      </w:r>
      <w:r w:rsidR="00DB31BE">
        <w:t>For more information, s</w:t>
      </w:r>
      <w:r w:rsidR="00040AC6">
        <w:t>ee</w:t>
      </w:r>
      <w:r w:rsidR="00DB31BE">
        <w:t xml:space="preserve"> the</w:t>
      </w:r>
      <w:r w:rsidR="00040AC6">
        <w:t xml:space="preserve"> </w:t>
      </w:r>
      <w:hyperlink r:id="rId36" w:history="1">
        <w:r w:rsidR="00040AC6" w:rsidRPr="00E12732">
          <w:rPr>
            <w:rStyle w:val="Hyperlink"/>
          </w:rPr>
          <w:t>Victorian Government Land Monitor page</w:t>
        </w:r>
      </w:hyperlink>
      <w:r w:rsidR="00DB31BE">
        <w:t xml:space="preserve"> </w:t>
      </w:r>
      <w:r w:rsidR="00040AC6">
        <w:t>&lt;</w:t>
      </w:r>
      <w:r w:rsidR="00040AC6" w:rsidRPr="00125FB7">
        <w:t>https://www.propertyandlandtitles.vic.gov.au/vglm</w:t>
      </w:r>
      <w:r w:rsidR="00040AC6">
        <w:t>&gt;</w:t>
      </w:r>
      <w:r w:rsidR="00DB31BE">
        <w:t>.</w:t>
      </w:r>
    </w:p>
    <w:p w14:paraId="7090901F" w14:textId="77777777" w:rsidR="005E7112" w:rsidRPr="00F81380" w:rsidRDefault="005E7112" w:rsidP="005E7112">
      <w:pPr>
        <w:pStyle w:val="Heading2"/>
      </w:pPr>
      <w:bookmarkStart w:id="32" w:name="_Toc489625194"/>
      <w:bookmarkStart w:id="33" w:name="_Toc42254577"/>
      <w:r>
        <w:t>Process requirements</w:t>
      </w:r>
      <w:bookmarkEnd w:id="32"/>
      <w:bookmarkEnd w:id="33"/>
    </w:p>
    <w:p w14:paraId="74F5D697" w14:textId="74B34E3D" w:rsidR="005E7112" w:rsidRDefault="005E7112" w:rsidP="005E7112">
      <w:pPr>
        <w:pStyle w:val="DHHSbody"/>
      </w:pPr>
      <w:r>
        <w:t>A relatively standard process is followed for disposing of surplus freehold land held by the Department of Health and Human Services or a health portfolio public entity</w:t>
      </w:r>
      <w:r>
        <w:rPr>
          <w:rFonts w:cs="Arial"/>
        </w:rPr>
        <w:t>.</w:t>
      </w:r>
    </w:p>
    <w:p w14:paraId="16365D43" w14:textId="77777777" w:rsidR="005E7112" w:rsidRDefault="005E7112" w:rsidP="005E7112">
      <w:pPr>
        <w:pStyle w:val="DHHSbody"/>
      </w:pPr>
      <w:r>
        <w:t>The process is tailored for each individual project depending on the project requirements and is broadly covered by the following steps:</w:t>
      </w:r>
    </w:p>
    <w:p w14:paraId="3EA4974D" w14:textId="77777777" w:rsidR="005E7112" w:rsidRDefault="005E7112" w:rsidP="00577484">
      <w:pPr>
        <w:pStyle w:val="DHHSnumberdigitindent"/>
        <w:numPr>
          <w:ilvl w:val="1"/>
          <w:numId w:val="78"/>
        </w:numPr>
      </w:pPr>
      <w:r>
        <w:t>Land is declared surplus to operational requirements by health portfolio public entity, and/or the department.</w:t>
      </w:r>
    </w:p>
    <w:p w14:paraId="4B4D3525" w14:textId="77777777" w:rsidR="005E7112" w:rsidRDefault="005E7112" w:rsidP="00577484">
      <w:pPr>
        <w:pStyle w:val="DHHSnumberdigitindent"/>
      </w:pPr>
      <w:r>
        <w:t>Due diligence investigations and preparation of land for sale: legal, environmental issues, town planning (public use zoned land must be rezoned to an appropriate zoning), heritage overlays, flora and fauna, cultural heritage, site services, traffic management, engineering, survey and value uplift opportunities.</w:t>
      </w:r>
    </w:p>
    <w:p w14:paraId="6BFCB3EA" w14:textId="65228AE0" w:rsidR="005E7112" w:rsidRPr="006E05C9" w:rsidRDefault="005E7112" w:rsidP="00577484">
      <w:pPr>
        <w:pStyle w:val="DHHSnumberdigitindent"/>
      </w:pPr>
      <w:r>
        <w:t xml:space="preserve">Department </w:t>
      </w:r>
      <w:r w:rsidR="00040AC6">
        <w:t xml:space="preserve">facilitates first right of refusal </w:t>
      </w:r>
      <w:r>
        <w:t>process with Land Use Victoria. Health portfolio public entity</w:t>
      </w:r>
      <w:r w:rsidDel="00BC05F2">
        <w:t xml:space="preserve"> </w:t>
      </w:r>
      <w:r>
        <w:t xml:space="preserve">to complete </w:t>
      </w:r>
      <w:r w:rsidR="00040AC6">
        <w:t xml:space="preserve">the </w:t>
      </w:r>
      <w:r w:rsidRPr="00B34BA5">
        <w:rPr>
          <w:i/>
          <w:iCs/>
        </w:rPr>
        <w:t xml:space="preserve">First </w:t>
      </w:r>
      <w:r w:rsidR="00040AC6" w:rsidRPr="00B34BA5">
        <w:rPr>
          <w:i/>
          <w:iCs/>
        </w:rPr>
        <w:t>right of refusal request form</w:t>
      </w:r>
      <w:r w:rsidR="00040AC6">
        <w:t xml:space="preserve"> </w:t>
      </w:r>
      <w:r>
        <w:t xml:space="preserve">(Attachment 4A) and email </w:t>
      </w:r>
      <w:r w:rsidR="00040AC6">
        <w:t xml:space="preserve">it </w:t>
      </w:r>
      <w:r>
        <w:t xml:space="preserve">to </w:t>
      </w:r>
      <w:r w:rsidR="00040AC6" w:rsidRPr="00577484">
        <w:t>capital@dhhs.vic.gov.au</w:t>
      </w:r>
      <w:r>
        <w:t xml:space="preserve">. </w:t>
      </w:r>
      <w:r>
        <w:br/>
      </w:r>
      <w:r w:rsidRPr="006E05C9">
        <w:t xml:space="preserve">Prior to divestment, land must be offered for a period of 60 days to other state, Commonwealth and local government agencies for acquisition in compliance with the </w:t>
      </w:r>
      <w:r w:rsidRPr="00577484">
        <w:rPr>
          <w:iCs/>
        </w:rPr>
        <w:t>Victorian Government landholding policy</w:t>
      </w:r>
      <w:r w:rsidRPr="006E05C9">
        <w:t>. If no expressions of interest are received, the land may then be offered for sale using a public process.</w:t>
      </w:r>
    </w:p>
    <w:p w14:paraId="588F124A" w14:textId="77777777" w:rsidR="005E7112" w:rsidRPr="000D2E67" w:rsidRDefault="005E7112" w:rsidP="00577484">
      <w:pPr>
        <w:pStyle w:val="DHHSnumberdigitindent"/>
      </w:pPr>
      <w:r>
        <w:t xml:space="preserve">Private treaty sales are only to be conducted if an exemption is granted </w:t>
      </w:r>
      <w:r w:rsidR="00614376">
        <w:t>in line with</w:t>
      </w:r>
      <w:r>
        <w:t xml:space="preserve"> clause 2(d) of the </w:t>
      </w:r>
      <w:r w:rsidRPr="00577484">
        <w:rPr>
          <w:iCs/>
        </w:rPr>
        <w:t>Victorian Government land transactions policy and guidelines</w:t>
      </w:r>
      <w:r>
        <w:t>.</w:t>
      </w:r>
    </w:p>
    <w:p w14:paraId="03BD8B83" w14:textId="77777777" w:rsidR="005E7112" w:rsidRDefault="005E7112" w:rsidP="00577484">
      <w:pPr>
        <w:pStyle w:val="DHHSnumberdigitindent"/>
      </w:pPr>
      <w:r>
        <w:t>Appoint real estate agent through a competitive tender process.</w:t>
      </w:r>
    </w:p>
    <w:p w14:paraId="199DBFEA" w14:textId="4D67ED89" w:rsidR="005E7112" w:rsidRDefault="005E7112" w:rsidP="00577484">
      <w:pPr>
        <w:pStyle w:val="DHHSnumberdigitindent"/>
      </w:pPr>
      <w:r>
        <w:t xml:space="preserve">Appoint a panel lawyer (in consultation with </w:t>
      </w:r>
      <w:r w:rsidR="006B6EDA">
        <w:t xml:space="preserve">corporate counsel) and prepare contract of sale </w:t>
      </w:r>
      <w:r>
        <w:t>and Section 32.</w:t>
      </w:r>
    </w:p>
    <w:p w14:paraId="53D824A3" w14:textId="2EB3A04B" w:rsidR="005E7112" w:rsidRPr="006E05C9" w:rsidRDefault="005E7112" w:rsidP="00577484">
      <w:pPr>
        <w:pStyle w:val="DHHSnumberdigitindent"/>
        <w:rPr>
          <w:b/>
        </w:rPr>
      </w:pPr>
      <w:r>
        <w:t xml:space="preserve">Complete Valuer-General instruction form and </w:t>
      </w:r>
      <w:r w:rsidR="00040AC6">
        <w:t xml:space="preserve">email it </w:t>
      </w:r>
      <w:r>
        <w:t xml:space="preserve">to Property Manager at </w:t>
      </w:r>
      <w:r w:rsidR="00040AC6" w:rsidRPr="00577484">
        <w:t>capital@dhhs.vic.gov.au</w:t>
      </w:r>
      <w:r w:rsidRPr="006E05C9">
        <w:t xml:space="preserve"> to facilitate </w:t>
      </w:r>
      <w:r>
        <w:t>valuation advice.</w:t>
      </w:r>
      <w:r w:rsidR="00614376">
        <w:t xml:space="preserve"> </w:t>
      </w:r>
      <w:r>
        <w:t>Where it is anticipated the value of the property is $750,000 or more, the Valuer-General will seek an independent check valuation.</w:t>
      </w:r>
      <w:r w:rsidR="00614376">
        <w:t xml:space="preserve"> </w:t>
      </w:r>
      <w:r>
        <w:t xml:space="preserve">(Refer to the </w:t>
      </w:r>
      <w:r w:rsidRPr="00577484">
        <w:rPr>
          <w:iCs/>
        </w:rPr>
        <w:t>Victorian Government land transactions policy and guidelines</w:t>
      </w:r>
      <w:r>
        <w:t xml:space="preserve">). Valuer-General </w:t>
      </w:r>
      <w:r w:rsidR="00040AC6">
        <w:t xml:space="preserve">request for valuation form </w:t>
      </w:r>
      <w:r>
        <w:t xml:space="preserve">is </w:t>
      </w:r>
      <w:r w:rsidR="00040AC6">
        <w:t xml:space="preserve">available on DELWP’s </w:t>
      </w:r>
      <w:hyperlink r:id="rId37" w:history="1">
        <w:r w:rsidR="00040AC6" w:rsidRPr="00040AC6">
          <w:rPr>
            <w:rStyle w:val="Hyperlink"/>
          </w:rPr>
          <w:t>Government valuations page</w:t>
        </w:r>
      </w:hyperlink>
      <w:r>
        <w:t xml:space="preserve"> </w:t>
      </w:r>
      <w:r w:rsidR="00040AC6">
        <w:t>&lt;</w:t>
      </w:r>
      <w:r w:rsidR="00040AC6" w:rsidRPr="00040AC6">
        <w:t>https://www.propertyandlandtitles.vic.gov.au/valuation/government-valuations</w:t>
      </w:r>
      <w:r w:rsidR="00040AC6">
        <w:t>&gt;</w:t>
      </w:r>
      <w:r>
        <w:br/>
        <w:t xml:space="preserve">The department will request valuation advice </w:t>
      </w:r>
      <w:r w:rsidR="00614376">
        <w:t>in line with</w:t>
      </w:r>
      <w:r>
        <w:t xml:space="preserve"> the provisions of the </w:t>
      </w:r>
      <w:r w:rsidRPr="00D129D6">
        <w:t>Valuation of Land Act</w:t>
      </w:r>
      <w:r w:rsidRPr="006E05C9">
        <w:rPr>
          <w:i/>
        </w:rPr>
        <w:t xml:space="preserve"> </w:t>
      </w:r>
      <w:r>
        <w:t>as the responsible line agency.</w:t>
      </w:r>
      <w:r>
        <w:br/>
      </w:r>
      <w:r w:rsidRPr="006E05C9">
        <w:rPr>
          <w:b/>
        </w:rPr>
        <w:lastRenderedPageBreak/>
        <w:t>An allowance of six weeks to complete the valuation should be built into the sales process.</w:t>
      </w:r>
    </w:p>
    <w:p w14:paraId="260256A3" w14:textId="2D3DE5DB" w:rsidR="005E7112" w:rsidRPr="00C1708B" w:rsidRDefault="005E7112" w:rsidP="00577484">
      <w:pPr>
        <w:pStyle w:val="DHHSnumberdigitindent"/>
      </w:pPr>
      <w:r>
        <w:t xml:space="preserve">Where the transaction is $750,000 or more, </w:t>
      </w:r>
      <w:r w:rsidRPr="006E05C9">
        <w:rPr>
          <w:b/>
        </w:rPr>
        <w:t xml:space="preserve">Government Land Monitor approval </w:t>
      </w:r>
      <w:r w:rsidRPr="00577484">
        <w:rPr>
          <w:b/>
        </w:rPr>
        <w:t>must</w:t>
      </w:r>
      <w:r w:rsidRPr="006E05C9">
        <w:rPr>
          <w:b/>
        </w:rPr>
        <w:t xml:space="preserve"> be obtained before the close of tenders or auction of the property</w:t>
      </w:r>
      <w:r>
        <w:t xml:space="preserve">. </w:t>
      </w:r>
      <w:r w:rsidR="00040AC6">
        <w:t xml:space="preserve">An approval request can be made using </w:t>
      </w:r>
      <w:hyperlink r:id="rId38" w:history="1">
        <w:r w:rsidR="00040AC6" w:rsidRPr="00040AC6">
          <w:rPr>
            <w:rStyle w:val="Hyperlink"/>
          </w:rPr>
          <w:t>VGLM Online</w:t>
        </w:r>
      </w:hyperlink>
      <w:r w:rsidR="00040AC6">
        <w:t xml:space="preserve"> &lt;</w:t>
      </w:r>
      <w:r w:rsidR="00040AC6" w:rsidRPr="00040AC6">
        <w:t>https://vglm.vic.gov.au</w:t>
      </w:r>
      <w:r w:rsidR="00040AC6">
        <w:t>&gt;</w:t>
      </w:r>
      <w:r>
        <w:t>.</w:t>
      </w:r>
    </w:p>
    <w:p w14:paraId="42C26163" w14:textId="335D73EA" w:rsidR="005E7112" w:rsidRPr="00E56DB2" w:rsidRDefault="005E7112" w:rsidP="00577484">
      <w:pPr>
        <w:pStyle w:val="DHHSnumberdigitindent"/>
      </w:pPr>
      <w:r>
        <w:t>Auction held or tender effected.</w:t>
      </w:r>
      <w:r>
        <w:br/>
        <w:t>If at the auction or following the tender, the reserve price is not met, officers may negotiate with the highest bidder</w:t>
      </w:r>
      <w:r w:rsidR="00040AC6">
        <w:t xml:space="preserve"> (or bidders)</w:t>
      </w:r>
      <w:r>
        <w:t xml:space="preserve"> to reach the reserve price.</w:t>
      </w:r>
      <w:r w:rsidR="00614376">
        <w:t xml:space="preserve"> </w:t>
      </w:r>
      <w:r>
        <w:t xml:space="preserve">The reserve price must not be less than </w:t>
      </w:r>
      <w:r w:rsidRPr="00E56DB2">
        <w:t>the current market value of the land as determined by the Valuer-General Victoria</w:t>
      </w:r>
      <w:r>
        <w:t xml:space="preserve"> and approved by the Government Land Monitor (if required).</w:t>
      </w:r>
      <w:r w:rsidR="00614376">
        <w:t xml:space="preserve"> </w:t>
      </w:r>
      <w:r>
        <w:t>If the reserve price is not reached, the property is ‘passed in’ and on the market for private sale.</w:t>
      </w:r>
      <w:r>
        <w:br/>
        <w:t>Valuations generally have a currency of three months.</w:t>
      </w:r>
      <w:r w:rsidR="00614376">
        <w:t xml:space="preserve"> </w:t>
      </w:r>
      <w:r>
        <w:t xml:space="preserve">If an offer is received after this time, the Valuer-General’s Office must revise the currency of the valuation advice and endorse acceptance of the offer before accepting an offer and finalising the sale, including Government Land Monitor approval (if required). See Part 5 </w:t>
      </w:r>
      <w:r w:rsidR="00040AC6">
        <w:t xml:space="preserve">– </w:t>
      </w:r>
      <w:r>
        <w:t xml:space="preserve">Valuation </w:t>
      </w:r>
      <w:r w:rsidR="00040AC6">
        <w:t xml:space="preserve">requirements </w:t>
      </w:r>
      <w:r>
        <w:t xml:space="preserve">of the </w:t>
      </w:r>
      <w:r w:rsidRPr="00577484">
        <w:rPr>
          <w:iCs/>
        </w:rPr>
        <w:t>Victorian Government land transactions policy and guidelines</w:t>
      </w:r>
      <w:r>
        <w:t xml:space="preserve"> for further advice.</w:t>
      </w:r>
    </w:p>
    <w:p w14:paraId="361EF951" w14:textId="77777777" w:rsidR="005E7112" w:rsidRDefault="005E7112" w:rsidP="00577484">
      <w:pPr>
        <w:pStyle w:val="DHHSnumberdigitindent"/>
      </w:pPr>
      <w:r w:rsidRPr="00E56DB2">
        <w:t>Set</w:t>
      </w:r>
      <w:r>
        <w:t>tlement.</w:t>
      </w:r>
      <w:r w:rsidR="00614376">
        <w:t xml:space="preserve"> </w:t>
      </w:r>
      <w:r>
        <w:t>Asset register updated.</w:t>
      </w:r>
    </w:p>
    <w:p w14:paraId="5D4F76E9" w14:textId="77777777" w:rsidR="005E7112" w:rsidRDefault="005E7112" w:rsidP="005E7112">
      <w:pPr>
        <w:pStyle w:val="DHHSbody"/>
        <w:rPr>
          <w:rFonts w:eastAsia="MS Mincho"/>
          <w:szCs w:val="24"/>
        </w:rPr>
      </w:pPr>
      <w:r>
        <w:t xml:space="preserve">A checklist to ensure the proper processes are applied to the disposal of land can be found at Appendix 4. The checklist is for general guidance as the </w:t>
      </w:r>
      <w:r w:rsidRPr="00D973A7">
        <w:rPr>
          <w:rFonts w:eastAsia="MS Mincho"/>
          <w:szCs w:val="24"/>
        </w:rPr>
        <w:t>actual process is tailored for each individual project depending on project requirements</w:t>
      </w:r>
      <w:r>
        <w:rPr>
          <w:rFonts w:eastAsia="MS Mincho"/>
          <w:szCs w:val="24"/>
        </w:rPr>
        <w:t>. It is not mandatory and is provided as a good practice guide to assist officers undertaking acquisition projects.</w:t>
      </w:r>
    </w:p>
    <w:p w14:paraId="4C91A45B" w14:textId="38C2960E" w:rsidR="005E7112" w:rsidRDefault="005E7112" w:rsidP="005E7112">
      <w:pPr>
        <w:pStyle w:val="DHHSbody"/>
      </w:pPr>
      <w:r>
        <w:t>All associated forms and web-links are available on</w:t>
      </w:r>
      <w:r w:rsidR="00040AC6">
        <w:t xml:space="preserve"> the</w:t>
      </w:r>
      <w:r>
        <w:t xml:space="preserve"> </w:t>
      </w:r>
      <w:hyperlink r:id="rId39" w:history="1">
        <w:r w:rsidR="00040AC6" w:rsidRPr="00654481">
          <w:rPr>
            <w:rStyle w:val="Hyperlink"/>
          </w:rPr>
          <w:t>Property management page</w:t>
        </w:r>
      </w:hyperlink>
      <w:r w:rsidR="00040AC6">
        <w:t xml:space="preserve"> of the Infrastructure Planning and Delivery website &lt;http://www.capital.health.vic.gov.au/Property_Management&gt;.</w:t>
      </w:r>
    </w:p>
    <w:p w14:paraId="0A5B1D7D" w14:textId="77777777" w:rsidR="005E7112" w:rsidRPr="00B20416" w:rsidRDefault="005E7112" w:rsidP="005E7112">
      <w:pPr>
        <w:pStyle w:val="Heading2"/>
      </w:pPr>
      <w:bookmarkStart w:id="34" w:name="_Toc489625195"/>
      <w:bookmarkStart w:id="35" w:name="_Toc42254578"/>
      <w:r w:rsidRPr="00B20416">
        <w:t xml:space="preserve">Crown </w:t>
      </w:r>
      <w:r>
        <w:t>l</w:t>
      </w:r>
      <w:r w:rsidRPr="00B20416">
        <w:t xml:space="preserve">and </w:t>
      </w:r>
      <w:r>
        <w:t>d</w:t>
      </w:r>
      <w:r w:rsidRPr="00B20416">
        <w:t>i</w:t>
      </w:r>
      <w:r>
        <w:t>vestment</w:t>
      </w:r>
      <w:r w:rsidRPr="00B20416">
        <w:t xml:space="preserve"> </w:t>
      </w:r>
      <w:r>
        <w:t>p</w:t>
      </w:r>
      <w:r w:rsidRPr="00B20416">
        <w:t>rocess</w:t>
      </w:r>
      <w:bookmarkEnd w:id="28"/>
      <w:bookmarkEnd w:id="29"/>
      <w:bookmarkEnd w:id="30"/>
      <w:bookmarkEnd w:id="31"/>
      <w:bookmarkEnd w:id="34"/>
      <w:bookmarkEnd w:id="35"/>
    </w:p>
    <w:p w14:paraId="6487037F" w14:textId="77777777" w:rsidR="005E7112" w:rsidRDefault="005E7112" w:rsidP="005E7112">
      <w:pPr>
        <w:pStyle w:val="DHHSbody"/>
      </w:pPr>
      <w:r w:rsidRPr="00A10DE9">
        <w:t xml:space="preserve">Pursuant to the </w:t>
      </w:r>
      <w:r w:rsidRPr="00234D8E">
        <w:rPr>
          <w:i/>
        </w:rPr>
        <w:t>Administration of Acts General Order</w:t>
      </w:r>
      <w:r w:rsidRPr="00A10DE9">
        <w:t xml:space="preserve"> </w:t>
      </w:r>
      <w:r>
        <w:rPr>
          <w:i/>
        </w:rPr>
        <w:t>58</w:t>
      </w:r>
      <w:r>
        <w:t xml:space="preserve"> </w:t>
      </w:r>
      <w:r w:rsidRPr="00A10DE9">
        <w:t xml:space="preserve">authorised by the Premier of Victoria, responsibility for the </w:t>
      </w:r>
      <w:r w:rsidRPr="00606DBE">
        <w:rPr>
          <w:b/>
        </w:rPr>
        <w:t>divestment of surplus Crown land rests exclusively with the Minister for Finance</w:t>
      </w:r>
      <w:r w:rsidRPr="00A10DE9">
        <w:t xml:space="preserve">. </w:t>
      </w:r>
    </w:p>
    <w:p w14:paraId="2A9E1D18" w14:textId="77777777" w:rsidR="005E7112" w:rsidRDefault="005E7112" w:rsidP="005E7112">
      <w:pPr>
        <w:pStyle w:val="DHHSbody"/>
      </w:pPr>
      <w:r>
        <w:t>Where a Crown land property is no longer required by a health portfolio public entity, the land must be declared surplus and referred to the department.</w:t>
      </w:r>
      <w:r w:rsidR="00614376">
        <w:t xml:space="preserve"> </w:t>
      </w:r>
      <w:r>
        <w:t xml:space="preserve">The department may arrange for it to be reallocated to another funded agency or referred to the Department of Treasury and Finance for sale. </w:t>
      </w:r>
    </w:p>
    <w:p w14:paraId="0ECEE229" w14:textId="77777777" w:rsidR="005E7112" w:rsidRDefault="005E7112" w:rsidP="005E7112">
      <w:pPr>
        <w:pStyle w:val="DHHSbody"/>
      </w:pPr>
      <w:r>
        <w:t xml:space="preserve">The health portfolio entity is responsible for day-to-day site management and associated costs until the property is sold and settled. </w:t>
      </w:r>
    </w:p>
    <w:p w14:paraId="31C6FA77" w14:textId="096C10E0" w:rsidR="005E7112" w:rsidRDefault="005E7112" w:rsidP="005E7112">
      <w:pPr>
        <w:pStyle w:val="DHHSbody"/>
      </w:pPr>
      <w:r>
        <w:t>C</w:t>
      </w:r>
      <w:r w:rsidRPr="00B753D9">
        <w:t>ontact</w:t>
      </w:r>
      <w:r>
        <w:t xml:space="preserve"> the</w:t>
      </w:r>
      <w:r w:rsidRPr="00B753D9">
        <w:t xml:space="preserve"> Manager</w:t>
      </w:r>
      <w:r w:rsidR="00E26D81">
        <w:t>,</w:t>
      </w:r>
      <w:r w:rsidRPr="00B753D9">
        <w:t xml:space="preserve"> Property, at </w:t>
      </w:r>
      <w:r w:rsidR="00E26D81" w:rsidRPr="00577484">
        <w:t>capital@dhhs.vic.gov.au</w:t>
      </w:r>
      <w:r w:rsidRPr="00B753D9">
        <w:t xml:space="preserve"> or call 9096 2061</w:t>
      </w:r>
      <w:r>
        <w:t xml:space="preserve"> to discuss </w:t>
      </w:r>
      <w:r w:rsidR="00E26D81">
        <w:t xml:space="preserve">the </w:t>
      </w:r>
      <w:r>
        <w:t xml:space="preserve">process for divestment of Crown land properties. </w:t>
      </w:r>
    </w:p>
    <w:p w14:paraId="39836A38" w14:textId="77777777" w:rsidR="005E7112" w:rsidRDefault="005E7112" w:rsidP="005E7112">
      <w:pPr>
        <w:pStyle w:val="Heading1"/>
      </w:pPr>
      <w:bookmarkStart w:id="36" w:name="_Toc410725709"/>
      <w:bookmarkStart w:id="37" w:name="_Toc422996706"/>
      <w:bookmarkStart w:id="38" w:name="_Toc423333221"/>
      <w:bookmarkStart w:id="39" w:name="_Toc489625196"/>
      <w:r>
        <w:br w:type="page"/>
      </w:r>
      <w:bookmarkStart w:id="40" w:name="_Toc42254579"/>
      <w:r>
        <w:lastRenderedPageBreak/>
        <w:t>Part 4: Land tenures</w:t>
      </w:r>
      <w:bookmarkEnd w:id="36"/>
      <w:bookmarkEnd w:id="37"/>
      <w:bookmarkEnd w:id="38"/>
      <w:bookmarkEnd w:id="39"/>
      <w:bookmarkEnd w:id="40"/>
    </w:p>
    <w:p w14:paraId="018EA8A9" w14:textId="76C5607A" w:rsidR="005E7112" w:rsidRPr="00064E7B" w:rsidRDefault="005E7112" w:rsidP="005E7112">
      <w:pPr>
        <w:pStyle w:val="DHHSbody"/>
      </w:pPr>
      <w:bookmarkStart w:id="41" w:name="_Toc403741411"/>
      <w:bookmarkStart w:id="42" w:name="_Toc403741410"/>
      <w:r>
        <w:t xml:space="preserve">The delivery of public health services is undertaken on land that can incorporate a variety of land tenure types and classifications. </w:t>
      </w:r>
      <w:r w:rsidRPr="00064E7B">
        <w:t xml:space="preserve">Health </w:t>
      </w:r>
      <w:r>
        <w:t>portfolio</w:t>
      </w:r>
      <w:r w:rsidRPr="00064E7B">
        <w:t xml:space="preserve"> public entities</w:t>
      </w:r>
      <w:r>
        <w:t xml:space="preserve"> </w:t>
      </w:r>
      <w:r w:rsidRPr="00064E7B">
        <w:t xml:space="preserve">that </w:t>
      </w:r>
      <w:r w:rsidR="00E26D81">
        <w:t>can</w:t>
      </w:r>
      <w:r>
        <w:t xml:space="preserve"> </w:t>
      </w:r>
      <w:r w:rsidRPr="00064E7B">
        <w:t>control</w:t>
      </w:r>
      <w:r>
        <w:t xml:space="preserve"> property</w:t>
      </w:r>
      <w:r w:rsidRPr="00064E7B">
        <w:t xml:space="preserve"> assets are </w:t>
      </w:r>
      <w:r w:rsidRPr="009A4124">
        <w:t>accountable</w:t>
      </w:r>
      <w:r w:rsidRPr="00064E7B">
        <w:t xml:space="preserve"> for their management.</w:t>
      </w:r>
    </w:p>
    <w:p w14:paraId="58E9055A" w14:textId="77777777" w:rsidR="005E7112" w:rsidRPr="00143222" w:rsidRDefault="005E7112" w:rsidP="005E7112">
      <w:pPr>
        <w:pStyle w:val="Heading2"/>
      </w:pPr>
      <w:bookmarkStart w:id="43" w:name="_Toc410725710"/>
      <w:bookmarkStart w:id="44" w:name="_Toc422996707"/>
      <w:bookmarkStart w:id="45" w:name="_Toc423333222"/>
      <w:bookmarkStart w:id="46" w:name="_Toc489625197"/>
      <w:bookmarkStart w:id="47" w:name="_Toc42254580"/>
      <w:r w:rsidRPr="00143222">
        <w:t xml:space="preserve">Freehold </w:t>
      </w:r>
      <w:r>
        <w:t>l</w:t>
      </w:r>
      <w:r w:rsidRPr="00143222">
        <w:t xml:space="preserve">and </w:t>
      </w:r>
      <w:r>
        <w:t>– o</w:t>
      </w:r>
      <w:r w:rsidRPr="00143222">
        <w:t xml:space="preserve">ccupation and </w:t>
      </w:r>
      <w:r>
        <w:t>u</w:t>
      </w:r>
      <w:r w:rsidRPr="00143222">
        <w:t>se</w:t>
      </w:r>
      <w:bookmarkEnd w:id="41"/>
      <w:bookmarkEnd w:id="43"/>
      <w:bookmarkEnd w:id="44"/>
      <w:bookmarkEnd w:id="45"/>
      <w:bookmarkEnd w:id="46"/>
      <w:bookmarkEnd w:id="47"/>
    </w:p>
    <w:p w14:paraId="7E7F431B" w14:textId="77777777" w:rsidR="005E7112" w:rsidRDefault="005E7112" w:rsidP="005E7112">
      <w:pPr>
        <w:pStyle w:val="DHHSbody"/>
      </w:pPr>
      <w:r>
        <w:t>Health portfolio public entities occupy and use freehold land to deliver government funded services in the following capacities:</w:t>
      </w:r>
    </w:p>
    <w:p w14:paraId="733E6050" w14:textId="77777777" w:rsidR="005E7112" w:rsidRDefault="005E7112" w:rsidP="005E7112">
      <w:pPr>
        <w:pStyle w:val="DHHSbullet1"/>
      </w:pPr>
      <w:r>
        <w:t>tenant on land owned by the Department of Health and Human Services</w:t>
      </w:r>
    </w:p>
    <w:p w14:paraId="3B01C07E" w14:textId="77777777" w:rsidR="005E7112" w:rsidRDefault="005E7112" w:rsidP="005E7112">
      <w:pPr>
        <w:pStyle w:val="DHHSbullet1"/>
      </w:pPr>
      <w:r>
        <w:t>tenant on land held by another entity (public or private)</w:t>
      </w:r>
    </w:p>
    <w:p w14:paraId="4D427D1C" w14:textId="77777777" w:rsidR="005E7112" w:rsidRDefault="005E7112" w:rsidP="005E7112">
      <w:pPr>
        <w:pStyle w:val="DHHSbullet1"/>
      </w:pPr>
      <w:r>
        <w:t>registered proprietor of land held in fee simple.</w:t>
      </w:r>
    </w:p>
    <w:p w14:paraId="0AC68520" w14:textId="77777777" w:rsidR="005E7112" w:rsidRDefault="005E7112" w:rsidP="00577484">
      <w:pPr>
        <w:pStyle w:val="DHHSbodyafterbullets"/>
      </w:pPr>
      <w:r>
        <w:t>The cases where a health portfolio public entity occupies departmental owned land as a permissive occupant are anomalous, and arrangements should be made to formalise the occupation by implementing a suitable tenure agreement: lease or licence.</w:t>
      </w:r>
      <w:bookmarkEnd w:id="42"/>
    </w:p>
    <w:p w14:paraId="7CEDC9F4" w14:textId="77777777" w:rsidR="005E7112" w:rsidRDefault="005E7112" w:rsidP="005E7112">
      <w:pPr>
        <w:pStyle w:val="Heading2"/>
      </w:pPr>
      <w:bookmarkStart w:id="48" w:name="_Toc410725713"/>
      <w:bookmarkStart w:id="49" w:name="_Toc422996710"/>
      <w:bookmarkStart w:id="50" w:name="_Toc423333225"/>
      <w:bookmarkStart w:id="51" w:name="_Toc489625198"/>
      <w:bookmarkStart w:id="52" w:name="_Toc42254581"/>
      <w:r w:rsidRPr="00143222">
        <w:t xml:space="preserve">Crown </w:t>
      </w:r>
      <w:r>
        <w:t>l</w:t>
      </w:r>
      <w:r w:rsidRPr="00143222">
        <w:t>and</w:t>
      </w:r>
      <w:r>
        <w:t xml:space="preserve"> – temporary and permanent reservations</w:t>
      </w:r>
      <w:bookmarkEnd w:id="48"/>
      <w:bookmarkEnd w:id="49"/>
      <w:bookmarkEnd w:id="50"/>
      <w:bookmarkEnd w:id="51"/>
      <w:bookmarkEnd w:id="52"/>
    </w:p>
    <w:p w14:paraId="496991B9" w14:textId="77777777" w:rsidR="005E7112" w:rsidRDefault="005E7112" w:rsidP="005E7112">
      <w:pPr>
        <w:pStyle w:val="DHHSbody"/>
      </w:pPr>
      <w:r>
        <w:t>Health portfolio public entities may occupy and use Crown land as a committee of management for Crown land temporarily reserved by order of the Governor in Council and in other cases as a trustee or public land manager for Crown land permanently reserved under an Act of the Victorian Parliament for one of a number of health portfolio public purposes: hospital, ambulance station, cemetery, homes for the aged, community health centre, and so on.</w:t>
      </w:r>
    </w:p>
    <w:p w14:paraId="72083840" w14:textId="77777777" w:rsidR="005E7112" w:rsidRDefault="005E7112" w:rsidP="005E7112">
      <w:pPr>
        <w:pStyle w:val="DHHSbody"/>
      </w:pPr>
      <w:r>
        <w:t xml:space="preserve">Both a committee of management and a trustee may undertake capital improvements to the Crown land and </w:t>
      </w:r>
      <w:r w:rsidRPr="005E048A">
        <w:t xml:space="preserve">enter into tenure agreements (leases and licences) </w:t>
      </w:r>
      <w:r>
        <w:t xml:space="preserve">with third parties to </w:t>
      </w:r>
      <w:r w:rsidRPr="005E048A">
        <w:t>grant access to the land</w:t>
      </w:r>
      <w:r>
        <w:t>,</w:t>
      </w:r>
      <w:r w:rsidRPr="005E048A">
        <w:t xml:space="preserve"> subject to the approval of the minister responsible for the Crown Land (Reserves) Act</w:t>
      </w:r>
      <w:r w:rsidRPr="00234D8E">
        <w:rPr>
          <w:i/>
        </w:rPr>
        <w:t>.</w:t>
      </w:r>
      <w:r>
        <w:rPr>
          <w:i/>
        </w:rPr>
        <w:t xml:space="preserve"> </w:t>
      </w:r>
      <w:r>
        <w:t>See Part 5 of this guideline.</w:t>
      </w:r>
    </w:p>
    <w:p w14:paraId="4062EB7B" w14:textId="0003F959" w:rsidR="005E7112" w:rsidRDefault="005E7112" w:rsidP="005E7112">
      <w:pPr>
        <w:pStyle w:val="DHHSbody"/>
      </w:pPr>
      <w:r>
        <w:t xml:space="preserve">Guidelines to assist committees of management in managing Crown land responsibilities can be accessed at </w:t>
      </w:r>
      <w:hyperlink r:id="rId40" w:history="1">
        <w:r w:rsidR="00E26D81" w:rsidRPr="00027870">
          <w:rPr>
            <w:rStyle w:val="Hyperlink"/>
          </w:rPr>
          <w:t>Committees of management responsibilities and good practice guidelines</w:t>
        </w:r>
      </w:hyperlink>
      <w:r w:rsidR="00040AC6">
        <w:t xml:space="preserve"> </w:t>
      </w:r>
      <w:r w:rsidR="00E26D81">
        <w:t>&lt;</w:t>
      </w:r>
      <w:r w:rsidR="00E26D81" w:rsidRPr="00027870">
        <w:t>https://www2.delwp.vic.gov.au/boards-and-governance/committees-of-management</w:t>
      </w:r>
      <w:r w:rsidR="00E26D81">
        <w:t>&gt;</w:t>
      </w:r>
      <w:r w:rsidRPr="00B753D9">
        <w:rPr>
          <w:color w:val="000000"/>
        </w:rPr>
        <w:t xml:space="preserve"> </w:t>
      </w:r>
    </w:p>
    <w:p w14:paraId="2DF0ADD1" w14:textId="77777777" w:rsidR="005E7112" w:rsidRDefault="005E7112" w:rsidP="005E7112">
      <w:pPr>
        <w:pStyle w:val="Heading2"/>
      </w:pPr>
      <w:bookmarkStart w:id="53" w:name="_Toc489625199"/>
      <w:bookmarkStart w:id="54" w:name="_Toc42254582"/>
      <w:r>
        <w:t>Cemetery land occupation and use</w:t>
      </w:r>
      <w:bookmarkEnd w:id="53"/>
      <w:bookmarkEnd w:id="54"/>
    </w:p>
    <w:p w14:paraId="0549067E" w14:textId="77777777" w:rsidR="005E7112" w:rsidRDefault="005E7112" w:rsidP="005E7112">
      <w:pPr>
        <w:pStyle w:val="DHHSbody"/>
      </w:pPr>
      <w:r>
        <w:t xml:space="preserve">In </w:t>
      </w:r>
      <w:r w:rsidR="00614376">
        <w:t>line</w:t>
      </w:r>
      <w:r>
        <w:t xml:space="preserve"> with the </w:t>
      </w:r>
      <w:r w:rsidRPr="00234D8E">
        <w:t>Cemeteries and Crematori</w:t>
      </w:r>
      <w:r>
        <w:t>a</w:t>
      </w:r>
      <w:r w:rsidRPr="00234D8E">
        <w:t xml:space="preserve"> Act,</w:t>
      </w:r>
      <w:r>
        <w:rPr>
          <w:i/>
        </w:rPr>
        <w:t xml:space="preserve"> </w:t>
      </w:r>
      <w:r>
        <w:t>cemetery trusts must obtain the Minister for Health’s approval to lease or license cemetery land. The Minister must not approve the tenure unless he or she is satisfied that the purpose for which the occupation is to be granted is not detrimental to the cemetery reserve purpose.</w:t>
      </w:r>
    </w:p>
    <w:p w14:paraId="5D8AC1E6" w14:textId="77777777" w:rsidR="005E7112" w:rsidRDefault="005E7112" w:rsidP="005E7112">
      <w:pPr>
        <w:pStyle w:val="DHHSbody"/>
      </w:pPr>
      <w:r>
        <w:t>A lease must be for a specified term not exceeding 21 years and a licence for a period not exceeding three years.</w:t>
      </w:r>
    </w:p>
    <w:p w14:paraId="2F3D8240" w14:textId="77777777" w:rsidR="005E7112" w:rsidRDefault="005E7112" w:rsidP="005E7112">
      <w:pPr>
        <w:pStyle w:val="DHHSbody"/>
      </w:pPr>
      <w:r>
        <w:br w:type="page"/>
      </w:r>
    </w:p>
    <w:p w14:paraId="65BAA817" w14:textId="33817FDC" w:rsidR="005E7112" w:rsidRPr="00B91A0A" w:rsidRDefault="005E7112" w:rsidP="005E7112">
      <w:pPr>
        <w:pStyle w:val="Heading1"/>
      </w:pPr>
      <w:bookmarkStart w:id="55" w:name="_Toc410725714"/>
      <w:bookmarkStart w:id="56" w:name="_Toc422996711"/>
      <w:bookmarkStart w:id="57" w:name="_Toc423333226"/>
      <w:bookmarkStart w:id="58" w:name="_Toc489625200"/>
      <w:bookmarkStart w:id="59" w:name="_Toc42254583"/>
      <w:r>
        <w:lastRenderedPageBreak/>
        <w:t>Part 5: Leasing</w:t>
      </w:r>
      <w:r w:rsidR="009120E4">
        <w:t xml:space="preserve"> and </w:t>
      </w:r>
      <w:r>
        <w:t>licensing process</w:t>
      </w:r>
      <w:bookmarkStart w:id="60" w:name="_Toc403741413"/>
      <w:bookmarkEnd w:id="55"/>
      <w:bookmarkEnd w:id="56"/>
      <w:bookmarkEnd w:id="57"/>
      <w:bookmarkEnd w:id="58"/>
      <w:bookmarkEnd w:id="59"/>
    </w:p>
    <w:p w14:paraId="44CF6833" w14:textId="77777777" w:rsidR="005E7112" w:rsidRDefault="005E7112" w:rsidP="005E7112">
      <w:pPr>
        <w:pStyle w:val="DHHSbody"/>
      </w:pPr>
      <w:r w:rsidRPr="00064E7B">
        <w:t xml:space="preserve">Formal tenure agreements provide legal certainty and </w:t>
      </w:r>
      <w:r w:rsidRPr="00BD37EC">
        <w:t xml:space="preserve">ensure that the responsibilities and obligations of both </w:t>
      </w:r>
      <w:r>
        <w:t xml:space="preserve">the </w:t>
      </w:r>
      <w:r w:rsidRPr="00BD37EC">
        <w:t>owner</w:t>
      </w:r>
      <w:r>
        <w:t xml:space="preserve"> and the</w:t>
      </w:r>
      <w:r w:rsidRPr="00BD37EC">
        <w:t xml:space="preserve"> </w:t>
      </w:r>
      <w:r>
        <w:t xml:space="preserve">occupant </w:t>
      </w:r>
      <w:r w:rsidRPr="00BD37EC">
        <w:t xml:space="preserve">are </w:t>
      </w:r>
      <w:r>
        <w:t>clearly identified and managed.</w:t>
      </w:r>
    </w:p>
    <w:p w14:paraId="63DD514E" w14:textId="77777777" w:rsidR="005E7112" w:rsidRDefault="005E7112" w:rsidP="005E7112">
      <w:pPr>
        <w:pStyle w:val="DHHSbody"/>
        <w:rPr>
          <w:rFonts w:cs="Arial"/>
        </w:rPr>
      </w:pPr>
      <w:r w:rsidRPr="002C6679">
        <w:rPr>
          <w:rFonts w:cs="Arial"/>
        </w:rPr>
        <w:t>Tenure agreements can provide for exclusive occupation (lease) or shared occupation (licence) of premises.</w:t>
      </w:r>
    </w:p>
    <w:p w14:paraId="3C8502F0" w14:textId="6BA2289E" w:rsidR="005E7112" w:rsidRDefault="005E7112" w:rsidP="005E7112">
      <w:pPr>
        <w:pStyle w:val="DHHSbody"/>
      </w:pPr>
      <w:r>
        <w:t xml:space="preserve">Health portfolio public </w:t>
      </w:r>
      <w:r w:rsidRPr="002C6679">
        <w:t>entities may enter tenure agree</w:t>
      </w:r>
      <w:r>
        <w:t xml:space="preserve">ments for health service and non-health </w:t>
      </w:r>
      <w:r w:rsidRPr="002C6679">
        <w:t>service</w:t>
      </w:r>
      <w:r w:rsidR="00E26D81">
        <w:t>-</w:t>
      </w:r>
      <w:r w:rsidRPr="002C6679">
        <w:t xml:space="preserve">related purposes. </w:t>
      </w:r>
      <w:r w:rsidRPr="00F64449">
        <w:t>At</w:t>
      </w:r>
      <w:r w:rsidRPr="002C6679">
        <w:t xml:space="preserve"> a public hospital, health</w:t>
      </w:r>
      <w:r>
        <w:t xml:space="preserve"> </w:t>
      </w:r>
      <w:r w:rsidRPr="002C6679">
        <w:t>service</w:t>
      </w:r>
      <w:r w:rsidR="00E26D81">
        <w:t>-</w:t>
      </w:r>
      <w:r w:rsidRPr="002C6679">
        <w:t>related purposes would include medical imaging, pathology and pharmacy services</w:t>
      </w:r>
      <w:r>
        <w:t>,</w:t>
      </w:r>
      <w:r w:rsidRPr="002C6679">
        <w:t xml:space="preserve"> and non-health</w:t>
      </w:r>
      <w:r>
        <w:t xml:space="preserve"> </w:t>
      </w:r>
      <w:r w:rsidRPr="002C6679">
        <w:t>service</w:t>
      </w:r>
      <w:r w:rsidR="00E26D81">
        <w:t>-</w:t>
      </w:r>
      <w:r w:rsidRPr="002C6679">
        <w:t>related purposes would include</w:t>
      </w:r>
      <w:r>
        <w:t xml:space="preserve"> a</w:t>
      </w:r>
      <w:r w:rsidRPr="002C6679">
        <w:t xml:space="preserve"> food and beverag</w:t>
      </w:r>
      <w:r>
        <w:t>e outlet, card and florist shop and</w:t>
      </w:r>
      <w:r w:rsidRPr="002C6679">
        <w:t xml:space="preserve"> hairdresser</w:t>
      </w:r>
      <w:r>
        <w:t>.</w:t>
      </w:r>
    </w:p>
    <w:p w14:paraId="55CE96B7" w14:textId="77777777" w:rsidR="005E7112" w:rsidRDefault="005E7112" w:rsidP="005E7112">
      <w:pPr>
        <w:pStyle w:val="Heading2"/>
      </w:pPr>
      <w:bookmarkStart w:id="61" w:name="_Toc489625201"/>
      <w:bookmarkStart w:id="62" w:name="_Toc42254584"/>
      <w:bookmarkStart w:id="63" w:name="_Toc410725715"/>
      <w:bookmarkStart w:id="64" w:name="_Toc422996712"/>
      <w:bookmarkStart w:id="65" w:name="_Toc423333227"/>
      <w:r>
        <w:t>Crown land</w:t>
      </w:r>
      <w:bookmarkEnd w:id="61"/>
      <w:bookmarkEnd w:id="62"/>
    </w:p>
    <w:p w14:paraId="7178C90A" w14:textId="421AC423" w:rsidR="005E7112" w:rsidRDefault="005E7112" w:rsidP="005E7112">
      <w:pPr>
        <w:pStyle w:val="DHHSbody"/>
        <w:rPr>
          <w:color w:val="000000"/>
        </w:rPr>
      </w:pPr>
      <w:r>
        <w:t xml:space="preserve">Leases and licences on Crown land operate under the provisions of the </w:t>
      </w:r>
      <w:r w:rsidRPr="00463590">
        <w:t>Crown Land (Reserves) Act</w:t>
      </w:r>
      <w:r>
        <w:rPr>
          <w:i/>
        </w:rPr>
        <w:t xml:space="preserve"> </w:t>
      </w:r>
      <w:r>
        <w:t xml:space="preserve">and </w:t>
      </w:r>
      <w:r w:rsidRPr="002C6679">
        <w:rPr>
          <w:rFonts w:cs="Arial"/>
        </w:rPr>
        <w:t xml:space="preserve">must be approved by the responsible </w:t>
      </w:r>
      <w:r>
        <w:rPr>
          <w:rFonts w:cs="Arial"/>
        </w:rPr>
        <w:t>m</w:t>
      </w:r>
      <w:r w:rsidRPr="002C6679">
        <w:rPr>
          <w:rFonts w:cs="Arial"/>
        </w:rPr>
        <w:t>inister</w:t>
      </w:r>
      <w:r>
        <w:rPr>
          <w:rFonts w:cs="Arial"/>
        </w:rPr>
        <w:t>, principally</w:t>
      </w:r>
      <w:r w:rsidRPr="002C6679">
        <w:rPr>
          <w:rFonts w:cs="Arial"/>
        </w:rPr>
        <w:t xml:space="preserve"> the Minister</w:t>
      </w:r>
      <w:r>
        <w:rPr>
          <w:rFonts w:cs="Arial"/>
        </w:rPr>
        <w:t xml:space="preserve"> for Energy, Environment and Climate Change.</w:t>
      </w:r>
      <w:r w:rsidR="00E26D81">
        <w:rPr>
          <w:rFonts w:cs="Arial"/>
        </w:rPr>
        <w:t xml:space="preserve"> </w:t>
      </w:r>
      <w:r w:rsidR="00E26D81">
        <w:t xml:space="preserve">See </w:t>
      </w:r>
      <w:hyperlink r:id="rId41" w:history="1">
        <w:r w:rsidR="00E26D81" w:rsidRPr="00027870">
          <w:rPr>
            <w:rStyle w:val="Hyperlink"/>
          </w:rPr>
          <w:t>Crown land leases, licences and permits</w:t>
        </w:r>
      </w:hyperlink>
      <w:r w:rsidR="00E26D81">
        <w:t xml:space="preserve"> &lt;</w:t>
      </w:r>
      <w:r w:rsidR="00E26D81" w:rsidRPr="00027870">
        <w:t>https://www.forestsandreserves.vic.gov.au/land-management/crown-land-leases-licences-and-permits</w:t>
      </w:r>
      <w:r w:rsidR="00E26D81">
        <w:t>&gt;</w:t>
      </w:r>
      <w:r w:rsidR="00E26D81">
        <w:rPr>
          <w:rFonts w:cs="Arial"/>
        </w:rPr>
        <w:t>.</w:t>
      </w:r>
    </w:p>
    <w:p w14:paraId="41C56750" w14:textId="77777777" w:rsidR="005E7112" w:rsidRDefault="005E7112" w:rsidP="005E7112">
      <w:pPr>
        <w:pStyle w:val="DHHSbody"/>
      </w:pPr>
      <w:r>
        <w:t>The Minister for Health is the responsible Minister for approving tenures on Crown land at: Bendigo Hospital, the Victorian Comprehensive Cancer Centre and Box Hill Hospital.</w:t>
      </w:r>
    </w:p>
    <w:p w14:paraId="4D194A71" w14:textId="126F733E" w:rsidR="005E7112" w:rsidRPr="002C6679" w:rsidRDefault="005E7112" w:rsidP="005E7112">
      <w:pPr>
        <w:pStyle w:val="DHHSbody"/>
      </w:pPr>
      <w:r>
        <w:t xml:space="preserve">A </w:t>
      </w:r>
      <w:r w:rsidRPr="002C6679">
        <w:t xml:space="preserve">licence may be issued for a </w:t>
      </w:r>
      <w:r>
        <w:t>term of up to ten years (s.</w:t>
      </w:r>
      <w:r w:rsidRPr="002C6679">
        <w:t>17B) and a lease</w:t>
      </w:r>
      <w:r>
        <w:t xml:space="preserve"> for a term of up to 21 years (s</w:t>
      </w:r>
      <w:r w:rsidRPr="002C6679">
        <w:t>17D)</w:t>
      </w:r>
      <w:r>
        <w:t>,</w:t>
      </w:r>
      <w:r w:rsidRPr="002C6679">
        <w:t xml:space="preserve"> but in some specific circumstances</w:t>
      </w:r>
      <w:r>
        <w:t xml:space="preserve">, </w:t>
      </w:r>
      <w:r w:rsidRPr="002C6679">
        <w:t>longer terms up to 21 years (</w:t>
      </w:r>
      <w:r>
        <w:t xml:space="preserve">s17BAA </w:t>
      </w:r>
      <w:r w:rsidR="00E26D81">
        <w:t xml:space="preserve">– </w:t>
      </w:r>
      <w:r>
        <w:t>Licence) and 65 years (s</w:t>
      </w:r>
      <w:r w:rsidRPr="002C6679">
        <w:t>17CA</w:t>
      </w:r>
      <w:r>
        <w:t xml:space="preserve"> </w:t>
      </w:r>
      <w:r w:rsidR="00E26D81">
        <w:t xml:space="preserve">– </w:t>
      </w:r>
      <w:r>
        <w:t>Lease</w:t>
      </w:r>
      <w:r w:rsidRPr="002C6679">
        <w:t xml:space="preserve">) </w:t>
      </w:r>
      <w:r>
        <w:t>may be granted.</w:t>
      </w:r>
    </w:p>
    <w:p w14:paraId="5E49BDD8" w14:textId="77777777" w:rsidR="005E7112" w:rsidRDefault="005E7112" w:rsidP="005E7112">
      <w:pPr>
        <w:pStyle w:val="DHHSbody"/>
      </w:pPr>
      <w:r w:rsidRPr="002C6679">
        <w:t xml:space="preserve">The </w:t>
      </w:r>
      <w:r>
        <w:t>Department of Environment, Land, Water and Planning</w:t>
      </w:r>
      <w:r w:rsidRPr="002C6679">
        <w:t xml:space="preserve"> mandate</w:t>
      </w:r>
      <w:r>
        <w:t>s the</w:t>
      </w:r>
      <w:r w:rsidRPr="002C6679">
        <w:t xml:space="preserve"> use of precedent lease and licence documents</w:t>
      </w:r>
      <w:r>
        <w:t>, which is</w:t>
      </w:r>
      <w:r w:rsidRPr="002C6679">
        <w:t xml:space="preserve"> intended to save time and expense for committees of management and </w:t>
      </w:r>
      <w:r>
        <w:t>t</w:t>
      </w:r>
      <w:r w:rsidRPr="002C6679">
        <w:t xml:space="preserve">rustees and to ensure that the requirements of the Crown are correctly documented to facilitate </w:t>
      </w:r>
      <w:r>
        <w:t>m</w:t>
      </w:r>
      <w:r w:rsidRPr="002C6679">
        <w:t>inisterial approval.</w:t>
      </w:r>
    </w:p>
    <w:p w14:paraId="4E04FDC8" w14:textId="77777777" w:rsidR="005E7112" w:rsidRDefault="005E7112" w:rsidP="005E7112">
      <w:pPr>
        <w:pStyle w:val="DHHSbody"/>
      </w:pPr>
      <w:r w:rsidRPr="002C6679">
        <w:t xml:space="preserve">A </w:t>
      </w:r>
      <w:r>
        <w:t xml:space="preserve">department </w:t>
      </w:r>
      <w:r w:rsidRPr="002C6679">
        <w:t>funded entity in possession of departmental Crown property involving nominal rent may not charge</w:t>
      </w:r>
      <w:r>
        <w:t xml:space="preserve"> market rent to a subtenant that is also a department </w:t>
      </w:r>
      <w:r w:rsidRPr="002C6679">
        <w:t>funded</w:t>
      </w:r>
      <w:r>
        <w:t xml:space="preserve"> entity</w:t>
      </w:r>
      <w:r w:rsidRPr="002C6679">
        <w:t>. In these cases, the subtenant is required to pay its share of property outgoings comprising utility charges, cleaning, security and maintenance.</w:t>
      </w:r>
    </w:p>
    <w:p w14:paraId="3088B43A" w14:textId="77777777" w:rsidR="005E7112" w:rsidRPr="00143222" w:rsidRDefault="005E7112" w:rsidP="005E7112">
      <w:pPr>
        <w:pStyle w:val="Heading2"/>
      </w:pPr>
      <w:bookmarkStart w:id="66" w:name="_Toc410725718"/>
      <w:bookmarkStart w:id="67" w:name="_Toc422996715"/>
      <w:bookmarkStart w:id="68" w:name="_Toc423333230"/>
      <w:bookmarkStart w:id="69" w:name="_Toc489625202"/>
      <w:bookmarkStart w:id="70" w:name="_Toc42254585"/>
      <w:r>
        <w:t>F</w:t>
      </w:r>
      <w:r w:rsidRPr="00143222">
        <w:t xml:space="preserve">reehold </w:t>
      </w:r>
      <w:r>
        <w:t>land</w:t>
      </w:r>
      <w:bookmarkEnd w:id="66"/>
      <w:bookmarkEnd w:id="67"/>
      <w:bookmarkEnd w:id="68"/>
      <w:r>
        <w:t xml:space="preserve"> – Retail Tenancies Act</w:t>
      </w:r>
      <w:bookmarkEnd w:id="69"/>
      <w:bookmarkEnd w:id="70"/>
    </w:p>
    <w:p w14:paraId="0776F55B" w14:textId="44FDF8F9" w:rsidR="005E7112" w:rsidRDefault="005E7112" w:rsidP="005E7112">
      <w:pPr>
        <w:pStyle w:val="DHHSbody"/>
      </w:pPr>
      <w:r w:rsidRPr="008C7A65">
        <w:t xml:space="preserve">The </w:t>
      </w:r>
      <w:r>
        <w:t>d</w:t>
      </w:r>
      <w:r w:rsidRPr="008C7A65">
        <w:t>epartment’s tenure agreements take a commercial form in ter</w:t>
      </w:r>
      <w:r>
        <w:t>ms of documenting the respective</w:t>
      </w:r>
      <w:r w:rsidRPr="008C7A65">
        <w:t xml:space="preserve"> roles and responsibilities of the </w:t>
      </w:r>
      <w:r>
        <w:t>department as landlord and the h</w:t>
      </w:r>
      <w:r w:rsidRPr="008C7A65">
        <w:t xml:space="preserve">ealth </w:t>
      </w:r>
      <w:r>
        <w:t>p</w:t>
      </w:r>
      <w:r w:rsidRPr="008C7A65">
        <w:t>ortfolio public entity as tenant but do not require the payment of rent or licence fee</w:t>
      </w:r>
      <w:r>
        <w:t xml:space="preserve">. They </w:t>
      </w:r>
      <w:r w:rsidRPr="008C7A65">
        <w:t xml:space="preserve">are drafted on the basis that occupation of </w:t>
      </w:r>
      <w:r>
        <w:t>d</w:t>
      </w:r>
      <w:r w:rsidRPr="008C7A65">
        <w:t>epartment</w:t>
      </w:r>
      <w:r>
        <w:t>al</w:t>
      </w:r>
      <w:r w:rsidRPr="008C7A65">
        <w:t xml:space="preserve"> premises for deliver</w:t>
      </w:r>
      <w:r>
        <w:t>ing</w:t>
      </w:r>
      <w:r w:rsidRPr="008C7A65">
        <w:t xml:space="preserve"> department</w:t>
      </w:r>
      <w:r>
        <w:t xml:space="preserve"> </w:t>
      </w:r>
      <w:r w:rsidRPr="008C7A65">
        <w:t xml:space="preserve">funded services </w:t>
      </w:r>
      <w:r>
        <w:t>is</w:t>
      </w:r>
      <w:r w:rsidRPr="008C7A65">
        <w:t xml:space="preserve"> not subject to the provisions of the </w:t>
      </w:r>
      <w:r w:rsidRPr="00DE79C0">
        <w:rPr>
          <w:i/>
        </w:rPr>
        <w:t>Retail Leases Act 2003</w:t>
      </w:r>
      <w:r>
        <w:t xml:space="preserve"> (Vic) </w:t>
      </w:r>
      <w:r w:rsidRPr="008C7A65">
        <w:t xml:space="preserve">or the </w:t>
      </w:r>
      <w:r w:rsidRPr="008C7A65">
        <w:rPr>
          <w:i/>
        </w:rPr>
        <w:t>Residential Tenancies Act 1997</w:t>
      </w:r>
      <w:r>
        <w:t xml:space="preserve"> (Vic)</w:t>
      </w:r>
      <w:r w:rsidRPr="008C7A65">
        <w:t>.</w:t>
      </w:r>
    </w:p>
    <w:p w14:paraId="79AF6731" w14:textId="21A893CF" w:rsidR="005E7112" w:rsidRPr="008C7A65" w:rsidRDefault="005E7112" w:rsidP="005E7112">
      <w:pPr>
        <w:pStyle w:val="DHHSbody"/>
      </w:pPr>
      <w:r w:rsidRPr="008C7A65">
        <w:t xml:space="preserve">In this regard, reference should be made to the Ministerial Determination made under </w:t>
      </w:r>
      <w:r>
        <w:t>s</w:t>
      </w:r>
      <w:r w:rsidR="00E26D81">
        <w:t xml:space="preserve">ection </w:t>
      </w:r>
      <w:r w:rsidRPr="008C7A65">
        <w:t xml:space="preserve">5 of the </w:t>
      </w:r>
      <w:r w:rsidRPr="00234D8E">
        <w:t>Retail Lease</w:t>
      </w:r>
      <w:r>
        <w:t>s</w:t>
      </w:r>
      <w:r w:rsidRPr="00234D8E">
        <w:t xml:space="preserve"> Act</w:t>
      </w:r>
      <w:r>
        <w:t>,</w:t>
      </w:r>
      <w:r w:rsidRPr="008C7A65">
        <w:rPr>
          <w:i/>
        </w:rPr>
        <w:t xml:space="preserve"> </w:t>
      </w:r>
      <w:r w:rsidRPr="008C7A65">
        <w:t xml:space="preserve">which provides that premises do not constitute </w:t>
      </w:r>
      <w:r>
        <w:t>r</w:t>
      </w:r>
      <w:r w:rsidRPr="008C7A65">
        <w:t xml:space="preserve">etail </w:t>
      </w:r>
      <w:r>
        <w:t>p</w:t>
      </w:r>
      <w:r w:rsidRPr="008C7A65">
        <w:t>remises for the purposes of the Act where they are used predominantly for public</w:t>
      </w:r>
      <w:r>
        <w:t>,</w:t>
      </w:r>
      <w:r w:rsidRPr="008C7A65">
        <w:t xml:space="preserve"> municipal or charitable purposes and the rent payable is not </w:t>
      </w:r>
      <w:r w:rsidRPr="00F64449">
        <w:t>greater</w:t>
      </w:r>
      <w:r w:rsidRPr="008C7A65">
        <w:t xml:space="preserve"> than $10,000 per annum</w:t>
      </w:r>
      <w:r>
        <w:t>, as well as</w:t>
      </w:r>
      <w:r w:rsidRPr="008C7A65">
        <w:t xml:space="preserve"> the provision at </w:t>
      </w:r>
      <w:r>
        <w:t>s</w:t>
      </w:r>
      <w:r w:rsidR="00E26D81">
        <w:t xml:space="preserve">ection </w:t>
      </w:r>
      <w:r w:rsidRPr="008C7A65">
        <w:t>23 of the</w:t>
      </w:r>
      <w:r w:rsidRPr="009A4124">
        <w:t xml:space="preserve"> </w:t>
      </w:r>
      <w:r w:rsidRPr="00234D8E">
        <w:t>Residential Tenancies Act</w:t>
      </w:r>
      <w:r w:rsidR="00614376">
        <w:t xml:space="preserve"> </w:t>
      </w:r>
      <w:r>
        <w:t>that excludes</w:t>
      </w:r>
      <w:r w:rsidRPr="008C7A65">
        <w:t xml:space="preserve"> </w:t>
      </w:r>
      <w:r>
        <w:t>h</w:t>
      </w:r>
      <w:r w:rsidRPr="008C7A65">
        <w:t>ealth and residential services</w:t>
      </w:r>
      <w:r>
        <w:t xml:space="preserve"> from the operation of the Act.</w:t>
      </w:r>
    </w:p>
    <w:p w14:paraId="5916B969" w14:textId="77777777" w:rsidR="005E7112" w:rsidRDefault="005E7112" w:rsidP="005E7112">
      <w:pPr>
        <w:pStyle w:val="DHHSbody"/>
      </w:pPr>
      <w:r>
        <w:t>A department-</w:t>
      </w:r>
      <w:r w:rsidRPr="002C6679">
        <w:t>funded entity in possession of departmental freehold property under a lease involving nominal rental may not charge</w:t>
      </w:r>
      <w:r>
        <w:t xml:space="preserve"> market rent to a subtenant that is also a department </w:t>
      </w:r>
      <w:r w:rsidRPr="002C6679">
        <w:t>funded entity. In these cases, the subtenant is required to pay its share of property outgoings comprising utility charges, cleaning, security and maintenance.</w:t>
      </w:r>
    </w:p>
    <w:p w14:paraId="57D3DFAA" w14:textId="77777777" w:rsidR="005E7112" w:rsidRDefault="005E7112" w:rsidP="005E7112">
      <w:pPr>
        <w:pStyle w:val="Heading2"/>
      </w:pPr>
      <w:bookmarkStart w:id="71" w:name="_Toc489625203"/>
      <w:bookmarkStart w:id="72" w:name="_Toc42254586"/>
      <w:r>
        <w:lastRenderedPageBreak/>
        <w:t>Process requirements</w:t>
      </w:r>
      <w:bookmarkEnd w:id="71"/>
      <w:bookmarkEnd w:id="72"/>
    </w:p>
    <w:p w14:paraId="76385386" w14:textId="77777777" w:rsidR="005E7112" w:rsidRDefault="005E7112" w:rsidP="005E7112">
      <w:pPr>
        <w:pStyle w:val="DHHSbody"/>
      </w:pPr>
      <w:r>
        <w:t>A relatively standard process is followed for leasing transactions</w:t>
      </w:r>
      <w:r>
        <w:rPr>
          <w:rFonts w:cs="Arial"/>
        </w:rPr>
        <w:t>.</w:t>
      </w:r>
      <w:r>
        <w:t xml:space="preserve"> The actual process will be tailored for each individual project depending on the project requirements.</w:t>
      </w:r>
    </w:p>
    <w:p w14:paraId="69E9228E" w14:textId="5B3B3C5F" w:rsidR="005E7112" w:rsidRDefault="005E7112" w:rsidP="005E7112">
      <w:pPr>
        <w:pStyle w:val="DHHSbody"/>
      </w:pPr>
      <w:r>
        <w:t>When leasing, public health entities must consider the following</w:t>
      </w:r>
      <w:r w:rsidR="00E26D81">
        <w:t>.</w:t>
      </w:r>
    </w:p>
    <w:p w14:paraId="2FDF8A90" w14:textId="77777777" w:rsidR="005E7112" w:rsidRDefault="005E7112" w:rsidP="005E7112">
      <w:pPr>
        <w:pStyle w:val="Heading3"/>
      </w:pPr>
      <w:r>
        <w:t>Purpose of occupation</w:t>
      </w:r>
    </w:p>
    <w:p w14:paraId="2DD37C26" w14:textId="1C0E90D5" w:rsidR="005E7112" w:rsidRDefault="005E7112" w:rsidP="005E7112">
      <w:pPr>
        <w:pStyle w:val="DHHSbody"/>
        <w:rPr>
          <w:rFonts w:cs="Arial"/>
        </w:rPr>
      </w:pPr>
      <w:r>
        <w:t>Is the occupancy for a health service</w:t>
      </w:r>
      <w:r w:rsidR="00E26D81">
        <w:t>-</w:t>
      </w:r>
      <w:r>
        <w:t>related purpose or a non-health service</w:t>
      </w:r>
      <w:r w:rsidR="00E26D81">
        <w:t>-</w:t>
      </w:r>
      <w:r>
        <w:t xml:space="preserve">related purpose for which the provision of either the </w:t>
      </w:r>
      <w:r w:rsidRPr="001552FB">
        <w:rPr>
          <w:rFonts w:cs="Arial"/>
        </w:rPr>
        <w:t>Retail Leases Act</w:t>
      </w:r>
      <w:r w:rsidRPr="00DE79C0">
        <w:rPr>
          <w:rFonts w:cs="Arial"/>
          <w:i/>
        </w:rPr>
        <w:t xml:space="preserve"> </w:t>
      </w:r>
      <w:r w:rsidRPr="008C7A65">
        <w:rPr>
          <w:rFonts w:cs="Arial"/>
        </w:rPr>
        <w:t xml:space="preserve">or the </w:t>
      </w:r>
      <w:r w:rsidRPr="001552FB">
        <w:rPr>
          <w:rFonts w:cs="Arial"/>
        </w:rPr>
        <w:t>Residential Tenancies Act</w:t>
      </w:r>
      <w:r>
        <w:rPr>
          <w:rFonts w:cs="Arial"/>
          <w:i/>
        </w:rPr>
        <w:t xml:space="preserve"> </w:t>
      </w:r>
      <w:r>
        <w:rPr>
          <w:rFonts w:cs="Arial"/>
        </w:rPr>
        <w:t>applies?</w:t>
      </w:r>
    </w:p>
    <w:p w14:paraId="254E7C5F" w14:textId="75D6FFA3" w:rsidR="005E7112" w:rsidRDefault="005E7112" w:rsidP="005E7112">
      <w:pPr>
        <w:pStyle w:val="Heading3"/>
      </w:pPr>
      <w:r>
        <w:t xml:space="preserve">Land </w:t>
      </w:r>
      <w:r w:rsidR="006B6EDA">
        <w:t>tenure approval and consents</w:t>
      </w:r>
    </w:p>
    <w:p w14:paraId="4F0615B0" w14:textId="5419FC43" w:rsidR="005E7112" w:rsidRDefault="005E7112" w:rsidP="005E7112">
      <w:pPr>
        <w:pStyle w:val="DHHSbody"/>
      </w:pPr>
      <w:r>
        <w:t xml:space="preserve">The proposed tenure of the land must be complementary and not </w:t>
      </w:r>
      <w:r w:rsidR="006C1C73">
        <w:t>conflict with</w:t>
      </w:r>
      <w:r>
        <w:t xml:space="preserve"> or</w:t>
      </w:r>
      <w:r w:rsidR="006C1C73">
        <w:t xml:space="preserve"> be</w:t>
      </w:r>
      <w:r>
        <w:t xml:space="preserve"> detrimental to the service delivery obligations of the public entity, the permitted use under any head lease or</w:t>
      </w:r>
      <w:r w:rsidR="006C1C73">
        <w:t>,</w:t>
      </w:r>
      <w:r>
        <w:t xml:space="preserve"> in the case of Crown land, the reservation purpose.</w:t>
      </w:r>
    </w:p>
    <w:tbl>
      <w:tblPr>
        <w:tblStyle w:val="TableGrid"/>
        <w:tblW w:w="0" w:type="auto"/>
        <w:tblLook w:val="04A0" w:firstRow="1" w:lastRow="0" w:firstColumn="1" w:lastColumn="0" w:noHBand="0" w:noVBand="1"/>
      </w:tblPr>
      <w:tblGrid>
        <w:gridCol w:w="2296"/>
        <w:gridCol w:w="2290"/>
        <w:gridCol w:w="2294"/>
        <w:gridCol w:w="2300"/>
      </w:tblGrid>
      <w:tr w:rsidR="006C1C73" w14:paraId="6EF08F01"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77ADE39" w14:textId="0444AEA9" w:rsidR="006C1C73" w:rsidRDefault="006C1C73" w:rsidP="00577484">
            <w:pPr>
              <w:pStyle w:val="DHHStablecolhead"/>
            </w:pPr>
            <w:r w:rsidRPr="00DF4C18">
              <w:t xml:space="preserve">Land </w:t>
            </w:r>
            <w:r w:rsidR="009120E4" w:rsidRPr="00DF4C18">
              <w:t>status</w:t>
            </w:r>
          </w:p>
        </w:tc>
        <w:tc>
          <w:tcPr>
            <w:tcW w:w="0" w:type="dxa"/>
          </w:tcPr>
          <w:p w14:paraId="7FAC1003" w14:textId="7F55F0E2" w:rsidR="006C1C73" w:rsidRDefault="006C1C73" w:rsidP="00577484">
            <w:pPr>
              <w:pStyle w:val="DHHStablecolhead"/>
              <w:cnfStyle w:val="100000000000" w:firstRow="1" w:lastRow="0" w:firstColumn="0" w:lastColumn="0" w:oddVBand="0" w:evenVBand="0" w:oddHBand="0" w:evenHBand="0" w:firstRowFirstColumn="0" w:firstRowLastColumn="0" w:lastRowFirstColumn="0" w:lastRowLastColumn="0"/>
            </w:pPr>
            <w:r w:rsidRPr="00DF4C18">
              <w:t xml:space="preserve">Public </w:t>
            </w:r>
            <w:r w:rsidR="009120E4" w:rsidRPr="00DF4C18">
              <w:t xml:space="preserve">health entity role </w:t>
            </w:r>
          </w:p>
        </w:tc>
        <w:tc>
          <w:tcPr>
            <w:tcW w:w="0" w:type="dxa"/>
          </w:tcPr>
          <w:p w14:paraId="06EF4518" w14:textId="6E044956" w:rsidR="006C1C73" w:rsidRDefault="006C1C73" w:rsidP="00577484">
            <w:pPr>
              <w:pStyle w:val="DHHStablecolhead"/>
              <w:cnfStyle w:val="100000000000" w:firstRow="1" w:lastRow="0" w:firstColumn="0" w:lastColumn="0" w:oddVBand="0" w:evenVBand="0" w:oddHBand="0" w:evenHBand="0" w:firstRowFirstColumn="0" w:firstRowLastColumn="0" w:lastRowFirstColumn="0" w:lastRowLastColumn="0"/>
            </w:pPr>
            <w:r w:rsidRPr="00DF4C18">
              <w:t xml:space="preserve">Department of Health and Human Services </w:t>
            </w:r>
            <w:r w:rsidR="009120E4" w:rsidRPr="00DF4C18">
              <w:t xml:space="preserve">role </w:t>
            </w:r>
          </w:p>
        </w:tc>
        <w:tc>
          <w:tcPr>
            <w:tcW w:w="0" w:type="dxa"/>
          </w:tcPr>
          <w:p w14:paraId="243A62E4" w14:textId="4D099421" w:rsidR="006C1C73" w:rsidRDefault="006C1C73" w:rsidP="00577484">
            <w:pPr>
              <w:pStyle w:val="DHHStablecolhead"/>
              <w:cnfStyle w:val="100000000000" w:firstRow="1" w:lastRow="0" w:firstColumn="0" w:lastColumn="0" w:oddVBand="0" w:evenVBand="0" w:oddHBand="0" w:evenHBand="0" w:firstRowFirstColumn="0" w:firstRowLastColumn="0" w:lastRowFirstColumn="0" w:lastRowLastColumn="0"/>
            </w:pPr>
            <w:r w:rsidRPr="00DF4C18">
              <w:t xml:space="preserve">Minister for Energy, Environment and Climate Change </w:t>
            </w:r>
            <w:r w:rsidR="009120E4" w:rsidRPr="00DF4C18">
              <w:t>role</w:t>
            </w:r>
          </w:p>
        </w:tc>
      </w:tr>
      <w:tr w:rsidR="006C1C73" w14:paraId="71AE1E11" w14:textId="77777777" w:rsidTr="006C1C73">
        <w:tc>
          <w:tcPr>
            <w:cnfStyle w:val="001000000000" w:firstRow="0" w:lastRow="0" w:firstColumn="1" w:lastColumn="0" w:oddVBand="0" w:evenVBand="0" w:oddHBand="0" w:evenHBand="0" w:firstRowFirstColumn="0" w:firstRowLastColumn="0" w:lastRowFirstColumn="0" w:lastRowLastColumn="0"/>
            <w:tcW w:w="2351" w:type="dxa"/>
          </w:tcPr>
          <w:p w14:paraId="1DAB12D3" w14:textId="77777777" w:rsidR="006C1C73" w:rsidRDefault="006C1C73" w:rsidP="00577484">
            <w:pPr>
              <w:pStyle w:val="DHHStabletext"/>
            </w:pPr>
            <w:r w:rsidRPr="006C1C73">
              <w:t>Freehold land owned by public health entity</w:t>
            </w:r>
          </w:p>
        </w:tc>
        <w:tc>
          <w:tcPr>
            <w:tcW w:w="2351" w:type="dxa"/>
          </w:tcPr>
          <w:p w14:paraId="46FDED10" w14:textId="77777777" w:rsidR="006C1C73" w:rsidRDefault="006C1C73" w:rsidP="00577484">
            <w:pPr>
              <w:pStyle w:val="DHHStabletext"/>
              <w:cnfStyle w:val="000000000000" w:firstRow="0" w:lastRow="0" w:firstColumn="0" w:lastColumn="0" w:oddVBand="0" w:evenVBand="0" w:oddHBand="0" w:evenHBand="0" w:firstRowFirstColumn="0" w:firstRowLastColumn="0" w:lastRowFirstColumn="0" w:lastRowLastColumn="0"/>
            </w:pPr>
            <w:r w:rsidRPr="006C1C73">
              <w:t>Commercial lease agreement approved by Board</w:t>
            </w:r>
          </w:p>
        </w:tc>
        <w:tc>
          <w:tcPr>
            <w:tcW w:w="2352" w:type="dxa"/>
          </w:tcPr>
          <w:p w14:paraId="167C526F" w14:textId="77777777" w:rsidR="006C1C73" w:rsidRDefault="006C1C73" w:rsidP="00577484">
            <w:pPr>
              <w:pStyle w:val="DHHStabletext"/>
              <w:cnfStyle w:val="000000000000" w:firstRow="0" w:lastRow="0" w:firstColumn="0" w:lastColumn="0" w:oddVBand="0" w:evenVBand="0" w:oddHBand="0" w:evenHBand="0" w:firstRowFirstColumn="0" w:firstRowLastColumn="0" w:lastRowFirstColumn="0" w:lastRowLastColumn="0"/>
            </w:pPr>
            <w:r>
              <w:t>Not applicable</w:t>
            </w:r>
          </w:p>
        </w:tc>
        <w:tc>
          <w:tcPr>
            <w:tcW w:w="2352" w:type="dxa"/>
          </w:tcPr>
          <w:p w14:paraId="3A733B13" w14:textId="77777777" w:rsidR="006C1C73" w:rsidRDefault="006C1C73" w:rsidP="00577484">
            <w:pPr>
              <w:pStyle w:val="DHHStabletext"/>
              <w:cnfStyle w:val="000000000000" w:firstRow="0" w:lastRow="0" w:firstColumn="0" w:lastColumn="0" w:oddVBand="0" w:evenVBand="0" w:oddHBand="0" w:evenHBand="0" w:firstRowFirstColumn="0" w:firstRowLastColumn="0" w:lastRowFirstColumn="0" w:lastRowLastColumn="0"/>
            </w:pPr>
            <w:r>
              <w:t>Not applicable</w:t>
            </w:r>
          </w:p>
        </w:tc>
      </w:tr>
      <w:tr w:rsidR="00E26D81" w14:paraId="2108BDAB" w14:textId="77777777" w:rsidTr="006C1C73">
        <w:tc>
          <w:tcPr>
            <w:cnfStyle w:val="001000000000" w:firstRow="0" w:lastRow="0" w:firstColumn="1" w:lastColumn="0" w:oddVBand="0" w:evenVBand="0" w:oddHBand="0" w:evenHBand="0" w:firstRowFirstColumn="0" w:firstRowLastColumn="0" w:lastRowFirstColumn="0" w:lastRowLastColumn="0"/>
            <w:tcW w:w="2351" w:type="dxa"/>
          </w:tcPr>
          <w:p w14:paraId="3FC46E08" w14:textId="77777777" w:rsidR="00E26D81" w:rsidRDefault="00E26D81" w:rsidP="00577484">
            <w:pPr>
              <w:pStyle w:val="DHHStabletext"/>
            </w:pPr>
            <w:r w:rsidRPr="00D17814">
              <w:t>Freehold land owned by department and leased to public health entity</w:t>
            </w:r>
          </w:p>
        </w:tc>
        <w:tc>
          <w:tcPr>
            <w:tcW w:w="2351" w:type="dxa"/>
          </w:tcPr>
          <w:p w14:paraId="6DBE0C7C"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Negotiate terms</w:t>
            </w:r>
          </w:p>
          <w:p w14:paraId="2EF1DA3F"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Commercial sublease agreement</w:t>
            </w:r>
          </w:p>
        </w:tc>
        <w:tc>
          <w:tcPr>
            <w:tcW w:w="2352" w:type="dxa"/>
          </w:tcPr>
          <w:p w14:paraId="0F4E7DA1" w14:textId="2DEEF0B8"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Secretary</w:t>
            </w:r>
            <w:r w:rsidR="006B6EDA">
              <w:t xml:space="preserve"> or</w:t>
            </w:r>
            <w:r>
              <w:t xml:space="preserve"> delegate approval </w:t>
            </w:r>
          </w:p>
          <w:p w14:paraId="51363BB1"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Consent for sublease</w:t>
            </w:r>
          </w:p>
        </w:tc>
        <w:tc>
          <w:tcPr>
            <w:tcW w:w="2352" w:type="dxa"/>
          </w:tcPr>
          <w:p w14:paraId="289CC39A"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Not applicable</w:t>
            </w:r>
          </w:p>
        </w:tc>
      </w:tr>
      <w:tr w:rsidR="00E26D81" w14:paraId="3F4641EF" w14:textId="77777777" w:rsidTr="006C1C73">
        <w:tc>
          <w:tcPr>
            <w:cnfStyle w:val="001000000000" w:firstRow="0" w:lastRow="0" w:firstColumn="1" w:lastColumn="0" w:oddVBand="0" w:evenVBand="0" w:oddHBand="0" w:evenHBand="0" w:firstRowFirstColumn="0" w:firstRowLastColumn="0" w:lastRowFirstColumn="0" w:lastRowLastColumn="0"/>
            <w:tcW w:w="2351" w:type="dxa"/>
          </w:tcPr>
          <w:p w14:paraId="676110FA" w14:textId="77777777" w:rsidR="00E26D81" w:rsidRDefault="00E26D81" w:rsidP="00577484">
            <w:pPr>
              <w:pStyle w:val="DHHStabletext"/>
            </w:pPr>
            <w:r w:rsidRPr="00D17814">
              <w:t>Crown land under control of department as Committee of Management and leased to public health entity</w:t>
            </w:r>
          </w:p>
        </w:tc>
        <w:tc>
          <w:tcPr>
            <w:tcW w:w="2351" w:type="dxa"/>
          </w:tcPr>
          <w:p w14:paraId="11D52815"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 xml:space="preserve">Negotiate terms </w:t>
            </w:r>
          </w:p>
          <w:p w14:paraId="396F5844"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DELWP Crown land sublease engrossing head lease</w:t>
            </w:r>
          </w:p>
        </w:tc>
        <w:tc>
          <w:tcPr>
            <w:tcW w:w="2352" w:type="dxa"/>
          </w:tcPr>
          <w:p w14:paraId="7F99E9BD"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rPr>
                <w:i/>
              </w:rPr>
            </w:pPr>
            <w:r>
              <w:t>Secretary or delegate approval</w:t>
            </w:r>
            <w:r>
              <w:rPr>
                <w:i/>
              </w:rPr>
              <w:t xml:space="preserve"> </w:t>
            </w:r>
          </w:p>
          <w:p w14:paraId="4EA8EAF9"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Consent for sublease</w:t>
            </w:r>
          </w:p>
        </w:tc>
        <w:tc>
          <w:tcPr>
            <w:tcW w:w="2352" w:type="dxa"/>
          </w:tcPr>
          <w:p w14:paraId="414B4147"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 xml:space="preserve">Minister or delegate approval </w:t>
            </w:r>
          </w:p>
          <w:p w14:paraId="7F140D11"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Consent for sublease</w:t>
            </w:r>
          </w:p>
        </w:tc>
      </w:tr>
      <w:tr w:rsidR="00E26D81" w14:paraId="4BDDA0BA" w14:textId="77777777" w:rsidTr="006C1C73">
        <w:tc>
          <w:tcPr>
            <w:cnfStyle w:val="001000000000" w:firstRow="0" w:lastRow="0" w:firstColumn="1" w:lastColumn="0" w:oddVBand="0" w:evenVBand="0" w:oddHBand="0" w:evenHBand="0" w:firstRowFirstColumn="0" w:firstRowLastColumn="0" w:lastRowFirstColumn="0" w:lastRowLastColumn="0"/>
            <w:tcW w:w="2351" w:type="dxa"/>
          </w:tcPr>
          <w:p w14:paraId="055C31F0" w14:textId="77777777" w:rsidR="00E26D81" w:rsidRDefault="00E26D81" w:rsidP="00577484">
            <w:pPr>
              <w:pStyle w:val="DHHStabletext"/>
            </w:pPr>
            <w:r w:rsidRPr="00E26D81">
              <w:t>Crown land under control of public health entity as Committee of Management</w:t>
            </w:r>
          </w:p>
        </w:tc>
        <w:tc>
          <w:tcPr>
            <w:tcW w:w="2351" w:type="dxa"/>
          </w:tcPr>
          <w:p w14:paraId="3CF47BEF"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 xml:space="preserve">Negotiate terms </w:t>
            </w:r>
          </w:p>
          <w:p w14:paraId="55A2971E" w14:textId="0FC39B6F"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DELWP Crown land lease (or sublease as required)</w:t>
            </w:r>
          </w:p>
        </w:tc>
        <w:tc>
          <w:tcPr>
            <w:tcW w:w="2352" w:type="dxa"/>
          </w:tcPr>
          <w:p w14:paraId="598C3D7A" w14:textId="7FA8E7DF"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Secretary</w:t>
            </w:r>
            <w:r w:rsidR="006B6EDA">
              <w:t xml:space="preserve"> or </w:t>
            </w:r>
            <w:r>
              <w:t>delegate endorses business transaction</w:t>
            </w:r>
          </w:p>
        </w:tc>
        <w:tc>
          <w:tcPr>
            <w:tcW w:w="2352" w:type="dxa"/>
          </w:tcPr>
          <w:p w14:paraId="741F5A84"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Minister or delegate approval</w:t>
            </w:r>
          </w:p>
          <w:p w14:paraId="71E07B0D" w14:textId="77777777" w:rsidR="00E26D81" w:rsidRDefault="00E26D81" w:rsidP="00577484">
            <w:pPr>
              <w:pStyle w:val="DHHStabletext"/>
              <w:cnfStyle w:val="000000000000" w:firstRow="0" w:lastRow="0" w:firstColumn="0" w:lastColumn="0" w:oddVBand="0" w:evenVBand="0" w:oddHBand="0" w:evenHBand="0" w:firstRowFirstColumn="0" w:firstRowLastColumn="0" w:lastRowFirstColumn="0" w:lastRowLastColumn="0"/>
            </w:pPr>
            <w:r>
              <w:t xml:space="preserve">Consent for lease (or sublease) </w:t>
            </w:r>
          </w:p>
        </w:tc>
      </w:tr>
    </w:tbl>
    <w:p w14:paraId="1DF32B43" w14:textId="1347EB0B" w:rsidR="005E7112" w:rsidRDefault="005E7112" w:rsidP="00577484">
      <w:pPr>
        <w:pStyle w:val="DHHSbodyaftertablefigure"/>
      </w:pPr>
      <w:r>
        <w:t>For Crown land leases</w:t>
      </w:r>
      <w:r w:rsidR="006C1C73">
        <w:t>,</w:t>
      </w:r>
      <w:r>
        <w:t xml:space="preserve"> see</w:t>
      </w:r>
      <w:r w:rsidR="006C1C73">
        <w:t xml:space="preserve"> </w:t>
      </w:r>
      <w:hyperlink r:id="rId42" w:history="1">
        <w:r w:rsidR="006C1C73" w:rsidRPr="00027870">
          <w:rPr>
            <w:rStyle w:val="Hyperlink"/>
          </w:rPr>
          <w:t>Crown land leases, licences and permits</w:t>
        </w:r>
      </w:hyperlink>
      <w:r w:rsidR="006C1C73">
        <w:t xml:space="preserve"> &lt;</w:t>
      </w:r>
      <w:r w:rsidR="006C1C73" w:rsidRPr="00027870">
        <w:t>https://www.forestsandreserves.vic.gov.au/land-management/crown-land-leases-licences-and-permits</w:t>
      </w:r>
      <w:r w:rsidR="006C1C73">
        <w:t>&gt;.</w:t>
      </w:r>
      <w:r w:rsidR="006C1C73" w:rsidDel="006C1C73">
        <w:t xml:space="preserve"> </w:t>
      </w:r>
    </w:p>
    <w:p w14:paraId="14CF7E50" w14:textId="77777777" w:rsidR="005E7112" w:rsidRDefault="005E7112" w:rsidP="005E7112">
      <w:pPr>
        <w:pStyle w:val="Heading3"/>
      </w:pPr>
      <w:r>
        <w:t>Establishing market rental</w:t>
      </w:r>
    </w:p>
    <w:p w14:paraId="772D75C9" w14:textId="1334D0A3" w:rsidR="005E7112" w:rsidRPr="00007A47" w:rsidRDefault="005E7112" w:rsidP="005E7112">
      <w:pPr>
        <w:pStyle w:val="DHHSbody"/>
        <w:rPr>
          <w:b/>
        </w:rPr>
      </w:pPr>
      <w:r>
        <w:t xml:space="preserve">Complete Valuer-General </w:t>
      </w:r>
      <w:r w:rsidR="006C1C73">
        <w:t xml:space="preserve">request for rental valuation </w:t>
      </w:r>
      <w:r>
        <w:t xml:space="preserve">form and </w:t>
      </w:r>
      <w:r w:rsidR="006C1C73">
        <w:t xml:space="preserve">email it </w:t>
      </w:r>
      <w:r>
        <w:t>to Manager</w:t>
      </w:r>
      <w:r w:rsidR="006B6EDA">
        <w:t>, Property</w:t>
      </w:r>
      <w:r>
        <w:t xml:space="preserve"> at </w:t>
      </w:r>
      <w:r w:rsidR="006C1C73" w:rsidRPr="00577484">
        <w:t>capital@dhhs.vic.gov.au</w:t>
      </w:r>
      <w:r>
        <w:t xml:space="preserve"> to facilitate valuation advice.</w:t>
      </w:r>
      <w:r w:rsidR="00614376">
        <w:t xml:space="preserve"> </w:t>
      </w:r>
      <w:r w:rsidR="006C1C73">
        <w:t>The f</w:t>
      </w:r>
      <w:r>
        <w:t xml:space="preserve">orm is </w:t>
      </w:r>
      <w:r w:rsidR="006C1C73">
        <w:t xml:space="preserve">available on DELWP’s </w:t>
      </w:r>
      <w:hyperlink r:id="rId43" w:history="1">
        <w:r w:rsidR="006C1C73" w:rsidRPr="006C1C73">
          <w:rPr>
            <w:rStyle w:val="Hyperlink"/>
          </w:rPr>
          <w:t>Government valuations page</w:t>
        </w:r>
      </w:hyperlink>
      <w:r w:rsidR="006C1C73">
        <w:t xml:space="preserve"> &lt;</w:t>
      </w:r>
      <w:r w:rsidRPr="00577484">
        <w:t>https://www.propertyandlandtitles.vic.gov.au/valuation/government-valuations</w:t>
      </w:r>
      <w:r w:rsidR="006C1C73">
        <w:t>&gt;.</w:t>
      </w:r>
    </w:p>
    <w:p w14:paraId="260C9F1A" w14:textId="77777777" w:rsidR="005E7112" w:rsidRDefault="005E7112" w:rsidP="005E7112">
      <w:pPr>
        <w:pStyle w:val="DHHSbody"/>
      </w:pPr>
      <w:r>
        <w:t xml:space="preserve">In </w:t>
      </w:r>
      <w:r w:rsidR="00614376">
        <w:t>line</w:t>
      </w:r>
      <w:r>
        <w:t xml:space="preserve"> with the </w:t>
      </w:r>
      <w:r w:rsidRPr="00E12732">
        <w:rPr>
          <w:iCs/>
        </w:rPr>
        <w:t>Victorian Government land transactions policy and guidelines</w:t>
      </w:r>
      <w:r>
        <w:rPr>
          <w:i/>
        </w:rPr>
        <w:t>,</w:t>
      </w:r>
      <w:r>
        <w:t xml:space="preserve"> leasing transactions must be at a price which is not less than the current market rental value as determined by the Valuer-General, unless an exemption applies </w:t>
      </w:r>
      <w:r w:rsidR="006C1C73">
        <w:t xml:space="preserve">– </w:t>
      </w:r>
      <w:r>
        <w:t>see Part 9 of policy</w:t>
      </w:r>
      <w:r w:rsidR="006C1C73">
        <w:t xml:space="preserve"> on the </w:t>
      </w:r>
      <w:hyperlink r:id="rId44" w:history="1">
        <w:r w:rsidR="006C1C73" w:rsidRPr="00E12732">
          <w:rPr>
            <w:rStyle w:val="Hyperlink"/>
          </w:rPr>
          <w:t>Victorian Government Land Monitor page</w:t>
        </w:r>
      </w:hyperlink>
      <w:r w:rsidR="006C1C73">
        <w:t xml:space="preserve"> &lt;</w:t>
      </w:r>
      <w:r w:rsidR="006C1C73" w:rsidRPr="00125FB7">
        <w:t>https://www.propertyandlandtitles.vic.gov.au/vglm</w:t>
      </w:r>
      <w:r w:rsidR="006C1C73">
        <w:t>&gt;.</w:t>
      </w:r>
    </w:p>
    <w:p w14:paraId="2EFC09A3" w14:textId="77777777" w:rsidR="00B34BA5" w:rsidRDefault="00B34BA5">
      <w:pPr>
        <w:rPr>
          <w:rFonts w:ascii="Arial" w:eastAsia="Times" w:hAnsi="Arial"/>
        </w:rPr>
      </w:pPr>
      <w:r>
        <w:br w:type="page"/>
      </w:r>
    </w:p>
    <w:p w14:paraId="4D405E51" w14:textId="475F52E6" w:rsidR="005E7112" w:rsidRDefault="005E7112" w:rsidP="005E7112">
      <w:pPr>
        <w:pStyle w:val="DHHSbody"/>
      </w:pPr>
      <w:r>
        <w:lastRenderedPageBreak/>
        <w:t>Victorian Government land transaction policy and guidelines leasing e</w:t>
      </w:r>
      <w:r w:rsidRPr="00007A47">
        <w:t xml:space="preserve">xemptions: </w:t>
      </w:r>
    </w:p>
    <w:tbl>
      <w:tblPr>
        <w:tblStyle w:val="TableGrid"/>
        <w:tblW w:w="0" w:type="auto"/>
        <w:tblLook w:val="04A0" w:firstRow="1" w:lastRow="0" w:firstColumn="1" w:lastColumn="0" w:noHBand="0" w:noVBand="1"/>
      </w:tblPr>
      <w:tblGrid>
        <w:gridCol w:w="4591"/>
        <w:gridCol w:w="4589"/>
      </w:tblGrid>
      <w:tr w:rsidR="00E12732" w14:paraId="5D4D6DB2"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96F3A45" w14:textId="77777777" w:rsidR="00E12732" w:rsidRDefault="00E12732" w:rsidP="00E12732">
            <w:pPr>
              <w:pStyle w:val="DHHStablecolhead"/>
            </w:pPr>
            <w:r>
              <w:t>Agency</w:t>
            </w:r>
          </w:p>
        </w:tc>
        <w:tc>
          <w:tcPr>
            <w:tcW w:w="0" w:type="dxa"/>
          </w:tcPr>
          <w:p w14:paraId="7B1B31AB" w14:textId="77777777" w:rsidR="00E12732" w:rsidRDefault="00E12732" w:rsidP="00E12732">
            <w:pPr>
              <w:pStyle w:val="DHHStablecolhead"/>
              <w:cnfStyle w:val="100000000000" w:firstRow="1" w:lastRow="0" w:firstColumn="0" w:lastColumn="0" w:oddVBand="0" w:evenVBand="0" w:oddHBand="0" w:evenHBand="0" w:firstRowFirstColumn="0" w:firstRowLastColumn="0" w:lastRowFirstColumn="0" w:lastRowLastColumn="0"/>
            </w:pPr>
            <w:r>
              <w:t>Exemption</w:t>
            </w:r>
          </w:p>
        </w:tc>
      </w:tr>
      <w:tr w:rsidR="00E12732" w14:paraId="3090E90C" w14:textId="77777777" w:rsidTr="00E12732">
        <w:tc>
          <w:tcPr>
            <w:cnfStyle w:val="001000000000" w:firstRow="0" w:lastRow="0" w:firstColumn="1" w:lastColumn="0" w:oddVBand="0" w:evenVBand="0" w:oddHBand="0" w:evenHBand="0" w:firstRowFirstColumn="0" w:firstRowLastColumn="0" w:lastRowFirstColumn="0" w:lastRowLastColumn="0"/>
            <w:tcW w:w="4757" w:type="dxa"/>
          </w:tcPr>
          <w:p w14:paraId="7E763A2D" w14:textId="77777777" w:rsidR="00E12732" w:rsidRDefault="00E12732" w:rsidP="00E12732">
            <w:pPr>
              <w:pStyle w:val="DHHStabletext"/>
            </w:pPr>
            <w:r w:rsidRPr="00E12732">
              <w:t>Department of Health and Human Services (DHHS)</w:t>
            </w:r>
          </w:p>
        </w:tc>
        <w:tc>
          <w:tcPr>
            <w:tcW w:w="4757" w:type="dxa"/>
          </w:tcPr>
          <w:p w14:paraId="18A2BB7F" w14:textId="77777777" w:rsidR="00E12732" w:rsidRDefault="00E12732" w:rsidP="00E12732">
            <w:pPr>
              <w:pStyle w:val="DHHStabletext"/>
              <w:cnfStyle w:val="000000000000" w:firstRow="0" w:lastRow="0" w:firstColumn="0" w:lastColumn="0" w:oddVBand="0" w:evenVBand="0" w:oddHBand="0" w:evenHBand="0" w:firstRowFirstColumn="0" w:firstRowLastColumn="0" w:lastRowFirstColumn="0" w:lastRowLastColumn="0"/>
            </w:pPr>
            <w:r>
              <w:t>Land that is leased to service providers, where the service provided is related to the core functions of DHHS.</w:t>
            </w:r>
          </w:p>
          <w:p w14:paraId="35FFC763" w14:textId="77777777" w:rsidR="00E12732" w:rsidRDefault="00E12732" w:rsidP="00E12732">
            <w:pPr>
              <w:pStyle w:val="DHHStabletext"/>
              <w:cnfStyle w:val="000000000000" w:firstRow="0" w:lastRow="0" w:firstColumn="0" w:lastColumn="0" w:oddVBand="0" w:evenVBand="0" w:oddHBand="0" w:evenHBand="0" w:firstRowFirstColumn="0" w:firstRowLastColumn="0" w:lastRowFirstColumn="0" w:lastRowLastColumn="0"/>
            </w:pPr>
            <w:r>
              <w:t>Land that is leased as part of a public private partnership project.</w:t>
            </w:r>
          </w:p>
        </w:tc>
      </w:tr>
      <w:tr w:rsidR="00E12732" w14:paraId="0972906E" w14:textId="77777777" w:rsidTr="00E12732">
        <w:tc>
          <w:tcPr>
            <w:cnfStyle w:val="001000000000" w:firstRow="0" w:lastRow="0" w:firstColumn="1" w:lastColumn="0" w:oddVBand="0" w:evenVBand="0" w:oddHBand="0" w:evenHBand="0" w:firstRowFirstColumn="0" w:firstRowLastColumn="0" w:lastRowFirstColumn="0" w:lastRowLastColumn="0"/>
            <w:tcW w:w="4757" w:type="dxa"/>
          </w:tcPr>
          <w:p w14:paraId="42494128" w14:textId="6C34AA18" w:rsidR="00E12732" w:rsidRDefault="00E12732" w:rsidP="00E12732">
            <w:pPr>
              <w:pStyle w:val="DHHStabletext"/>
            </w:pPr>
            <w:r w:rsidRPr="00E12732">
              <w:t xml:space="preserve">DHHS health services as defined in Schedules 1 to 6 </w:t>
            </w:r>
            <w:r w:rsidR="006B6EDA">
              <w:t>of</w:t>
            </w:r>
            <w:r w:rsidRPr="00E12732">
              <w:t xml:space="preserve"> the Health Services Act</w:t>
            </w:r>
          </w:p>
        </w:tc>
        <w:tc>
          <w:tcPr>
            <w:tcW w:w="4757" w:type="dxa"/>
          </w:tcPr>
          <w:p w14:paraId="0F558688" w14:textId="77777777" w:rsidR="00E12732" w:rsidRDefault="00E12732" w:rsidP="00E12732">
            <w:pPr>
              <w:pStyle w:val="DHHStabletext"/>
              <w:cnfStyle w:val="000000000000" w:firstRow="0" w:lastRow="0" w:firstColumn="0" w:lastColumn="0" w:oddVBand="0" w:evenVBand="0" w:oddHBand="0" w:evenHBand="0" w:firstRowFirstColumn="0" w:firstRowLastColumn="0" w:lastRowFirstColumn="0" w:lastRowLastColumn="0"/>
            </w:pPr>
            <w:r>
              <w:t xml:space="preserve">Land that is leased to service providers, where the service provided is related to the core functions of DHHS Health Services. </w:t>
            </w:r>
          </w:p>
          <w:p w14:paraId="5F16D191" w14:textId="77777777" w:rsidR="00E12732" w:rsidRDefault="00E12732" w:rsidP="00E12732">
            <w:pPr>
              <w:pStyle w:val="DHHStabletext"/>
              <w:cnfStyle w:val="000000000000" w:firstRow="0" w:lastRow="0" w:firstColumn="0" w:lastColumn="0" w:oddVBand="0" w:evenVBand="0" w:oddHBand="0" w:evenHBand="0" w:firstRowFirstColumn="0" w:firstRowLastColumn="0" w:lastRowFirstColumn="0" w:lastRowLastColumn="0"/>
            </w:pPr>
            <w:r>
              <w:t>Land that is leased as part of a public private partnership project.</w:t>
            </w:r>
          </w:p>
        </w:tc>
      </w:tr>
    </w:tbl>
    <w:p w14:paraId="0B1B7CE5" w14:textId="77777777" w:rsidR="005E7112" w:rsidRPr="00007A47" w:rsidRDefault="005E7112" w:rsidP="00E12732">
      <w:pPr>
        <w:pStyle w:val="DHHSbodyaftertablefigure"/>
      </w:pPr>
      <w:r>
        <w:t>Any consideration less than full market rent must be approved by the financial delegate having regard to the estimated loss of revenue and the community benefit arising from the non-commercial lease.</w:t>
      </w:r>
    </w:p>
    <w:p w14:paraId="389301C2" w14:textId="77777777" w:rsidR="005E7112" w:rsidRDefault="005E7112" w:rsidP="005E7112">
      <w:pPr>
        <w:pStyle w:val="Heading3"/>
      </w:pPr>
      <w:r>
        <w:t xml:space="preserve">Lease </w:t>
      </w:r>
      <w:r w:rsidR="006C1C73">
        <w:t>agreement components</w:t>
      </w:r>
    </w:p>
    <w:p w14:paraId="7AB73B87" w14:textId="6B476B55" w:rsidR="005E7112" w:rsidRDefault="005E7112" w:rsidP="005E7112">
      <w:pPr>
        <w:pStyle w:val="DHHSnumberloweralpha"/>
        <w:numPr>
          <w:ilvl w:val="2"/>
          <w:numId w:val="39"/>
        </w:numPr>
      </w:pPr>
      <w:r>
        <w:t xml:space="preserve">Sub-tenures must be consistent with the </w:t>
      </w:r>
      <w:r w:rsidR="006B6EDA" w:rsidRPr="00B81A3E">
        <w:rPr>
          <w:b/>
        </w:rPr>
        <w:t>h</w:t>
      </w:r>
      <w:r w:rsidRPr="00B81A3E">
        <w:rPr>
          <w:b/>
        </w:rPr>
        <w:t>ead lease</w:t>
      </w:r>
      <w:r>
        <w:t xml:space="preserve">, and the </w:t>
      </w:r>
      <w:r w:rsidRPr="00B81A3E">
        <w:rPr>
          <w:b/>
        </w:rPr>
        <w:t>Retail Leases Act</w:t>
      </w:r>
      <w:r w:rsidRPr="00406B12">
        <w:rPr>
          <w:i/>
        </w:rPr>
        <w:t xml:space="preserve"> </w:t>
      </w:r>
      <w:r>
        <w:t>where retail services are provided.</w:t>
      </w:r>
    </w:p>
    <w:p w14:paraId="627391E4" w14:textId="77777777" w:rsidR="005E7112" w:rsidRDefault="005E7112" w:rsidP="005E7112">
      <w:pPr>
        <w:pStyle w:val="DHHSnumberloweralpha"/>
        <w:numPr>
          <w:ilvl w:val="2"/>
          <w:numId w:val="39"/>
        </w:numPr>
      </w:pPr>
      <w:r w:rsidRPr="00B81A3E">
        <w:rPr>
          <w:b/>
        </w:rPr>
        <w:t>Essential terms</w:t>
      </w:r>
      <w:r>
        <w:t xml:space="preserve"> must be capable of determination beyond doubt.</w:t>
      </w:r>
    </w:p>
    <w:p w14:paraId="06B0CEBE" w14:textId="77777777" w:rsidR="005E7112" w:rsidRDefault="005E7112" w:rsidP="005E7112">
      <w:pPr>
        <w:pStyle w:val="DHHSnumberloweralpha"/>
        <w:numPr>
          <w:ilvl w:val="2"/>
          <w:numId w:val="39"/>
        </w:numPr>
      </w:pPr>
      <w:r w:rsidRPr="00B81A3E">
        <w:rPr>
          <w:b/>
        </w:rPr>
        <w:t>Assignment, subletting or transfer</w:t>
      </w:r>
      <w:r>
        <w:t xml:space="preserve"> clauses should be subject to the consent of the health portfolio public entity.</w:t>
      </w:r>
    </w:p>
    <w:p w14:paraId="47F80C9D" w14:textId="77777777" w:rsidR="005E7112" w:rsidRDefault="005E7112" w:rsidP="005E7112">
      <w:pPr>
        <w:pStyle w:val="DHHSnumberloweralpha"/>
        <w:numPr>
          <w:ilvl w:val="2"/>
          <w:numId w:val="39"/>
        </w:numPr>
      </w:pPr>
      <w:r w:rsidRPr="00B81A3E">
        <w:rPr>
          <w:b/>
        </w:rPr>
        <w:t>Public liability</w:t>
      </w:r>
      <w:r>
        <w:t xml:space="preserve"> and other appropriate insurances must be held and maintained, including an indemnity in favour of the landlord and head landlord and Crown, as appropriate.</w:t>
      </w:r>
    </w:p>
    <w:p w14:paraId="1208C8B7" w14:textId="77777777" w:rsidR="005E7112" w:rsidRDefault="005E7112" w:rsidP="005E7112">
      <w:pPr>
        <w:pStyle w:val="DHHSnumberloweralpha"/>
        <w:numPr>
          <w:ilvl w:val="2"/>
          <w:numId w:val="39"/>
        </w:numPr>
      </w:pPr>
      <w:r>
        <w:t xml:space="preserve">The </w:t>
      </w:r>
      <w:r w:rsidRPr="00B81A3E">
        <w:rPr>
          <w:b/>
        </w:rPr>
        <w:t>te</w:t>
      </w:r>
      <w:r>
        <w:rPr>
          <w:b/>
        </w:rPr>
        <w:t xml:space="preserve">rm should not exceed </w:t>
      </w:r>
      <w:r w:rsidR="00E12732">
        <w:rPr>
          <w:b/>
        </w:rPr>
        <w:t>10</w:t>
      </w:r>
      <w:r w:rsidRPr="00B81A3E">
        <w:rPr>
          <w:b/>
        </w:rPr>
        <w:t xml:space="preserve"> years</w:t>
      </w:r>
      <w:r>
        <w:t xml:space="preserve"> </w:t>
      </w:r>
      <w:r w:rsidRPr="00406B12">
        <w:t>and ideally should be shorter so that the market can be regularly tested for alternative service providers (except where the tenant proposes significant capital works</w:t>
      </w:r>
      <w:r>
        <w:t>,</w:t>
      </w:r>
      <w:r w:rsidRPr="00406B12">
        <w:t xml:space="preserve"> in which case the term should be the lesser of a period considered sufficient for the tenant to amortise the cost and the balance of the term remaining under the </w:t>
      </w:r>
      <w:r>
        <w:t>h</w:t>
      </w:r>
      <w:r w:rsidRPr="00406B12">
        <w:t xml:space="preserve">ead </w:t>
      </w:r>
      <w:r>
        <w:t>l</w:t>
      </w:r>
      <w:r w:rsidRPr="00406B12">
        <w:t>ease)</w:t>
      </w:r>
      <w:r>
        <w:t>.</w:t>
      </w:r>
    </w:p>
    <w:p w14:paraId="7608DA9C" w14:textId="77777777" w:rsidR="005E7112" w:rsidRDefault="005E7112" w:rsidP="005E7112">
      <w:pPr>
        <w:pStyle w:val="DHHSnumberloweralpha"/>
        <w:numPr>
          <w:ilvl w:val="2"/>
          <w:numId w:val="39"/>
        </w:numPr>
      </w:pPr>
      <w:r>
        <w:rPr>
          <w:rFonts w:cs="Arial"/>
        </w:rPr>
        <w:t xml:space="preserve">Negotiations are expected to be consistent and fair with prospective tenants. </w:t>
      </w:r>
      <w:r w:rsidRPr="002C6679">
        <w:rPr>
          <w:rFonts w:cs="Arial"/>
        </w:rPr>
        <w:t>In cases</w:t>
      </w:r>
      <w:r>
        <w:rPr>
          <w:rFonts w:cs="Arial"/>
        </w:rPr>
        <w:t xml:space="preserve"> where subtenants providing health services are also department funded public entities</w:t>
      </w:r>
      <w:r w:rsidRPr="002C6679">
        <w:rPr>
          <w:rFonts w:cs="Arial"/>
        </w:rPr>
        <w:t>,</w:t>
      </w:r>
      <w:r>
        <w:rPr>
          <w:rFonts w:cs="Arial"/>
        </w:rPr>
        <w:t xml:space="preserve"> the financial provisions of the tenure agreement are to reflect those of the head lease.</w:t>
      </w:r>
    </w:p>
    <w:p w14:paraId="4CB79379" w14:textId="77777777" w:rsidR="005E7112" w:rsidRDefault="005E7112" w:rsidP="00E12732">
      <w:pPr>
        <w:pStyle w:val="Heading3"/>
      </w:pPr>
      <w:r>
        <w:t>Management</w:t>
      </w:r>
    </w:p>
    <w:p w14:paraId="39A16C16" w14:textId="77777777" w:rsidR="005E7112" w:rsidRDefault="005E7112" w:rsidP="005E7112">
      <w:pPr>
        <w:pStyle w:val="DHHSbody"/>
      </w:pPr>
      <w:r>
        <w:t xml:space="preserve">The management of established leases, including collection of rent and rent reviews, is the responsibility of the public health entity. </w:t>
      </w:r>
    </w:p>
    <w:p w14:paraId="00BC6DC0" w14:textId="77777777" w:rsidR="005E7112" w:rsidRDefault="005E7112" w:rsidP="005E7112">
      <w:pPr>
        <w:pStyle w:val="Heading2"/>
      </w:pPr>
      <w:bookmarkStart w:id="73" w:name="_Toc422996716"/>
      <w:bookmarkStart w:id="74" w:name="_Toc423333231"/>
      <w:bookmarkStart w:id="75" w:name="_Toc489625204"/>
      <w:bookmarkStart w:id="76" w:name="_Toc42254587"/>
      <w:bookmarkEnd w:id="60"/>
      <w:bookmarkEnd w:id="63"/>
      <w:bookmarkEnd w:id="64"/>
      <w:bookmarkEnd w:id="65"/>
      <w:r>
        <w:t>Lease and licences by cemetery trusts</w:t>
      </w:r>
      <w:bookmarkEnd w:id="73"/>
      <w:bookmarkEnd w:id="74"/>
      <w:bookmarkEnd w:id="75"/>
      <w:bookmarkEnd w:id="76"/>
    </w:p>
    <w:p w14:paraId="57CB057D" w14:textId="77777777" w:rsidR="005E7112" w:rsidRDefault="005E7112" w:rsidP="005E7112">
      <w:pPr>
        <w:pStyle w:val="DHHSbody"/>
      </w:pPr>
      <w:r>
        <w:t xml:space="preserve">Cemetery trusts have power to grant leases and licences </w:t>
      </w:r>
      <w:r w:rsidR="00614376">
        <w:t>in line with</w:t>
      </w:r>
      <w:r>
        <w:t xml:space="preserve"> their enabling legislation. Sections 36(1) and 37(1) of the </w:t>
      </w:r>
      <w:r w:rsidRPr="00234D8E">
        <w:t>Cemeteries and Crematoria Act</w:t>
      </w:r>
      <w:r>
        <w:rPr>
          <w:i/>
        </w:rPr>
        <w:t xml:space="preserve"> </w:t>
      </w:r>
      <w:r>
        <w:t>provide that a cemetery trust may grant a licence or lease to anyone to enter and use any part of the land for which it is responsible provided that the purpose has been approved by the Minister for Health.</w:t>
      </w:r>
    </w:p>
    <w:p w14:paraId="229E62BB" w14:textId="71B25F81" w:rsidR="005E7112" w:rsidRDefault="005E7112" w:rsidP="005E7112">
      <w:pPr>
        <w:pStyle w:val="DHHSbody"/>
      </w:pPr>
      <w:r>
        <w:t xml:space="preserve">In </w:t>
      </w:r>
      <w:r w:rsidR="00614376">
        <w:t>line</w:t>
      </w:r>
      <w:r>
        <w:t xml:space="preserve"> with the </w:t>
      </w:r>
      <w:r w:rsidRPr="00E12732">
        <w:rPr>
          <w:iCs/>
        </w:rPr>
        <w:t>Victorian Government land transactions policy and guidelines</w:t>
      </w:r>
      <w:r>
        <w:rPr>
          <w:i/>
        </w:rPr>
        <w:t>,</w:t>
      </w:r>
      <w:r>
        <w:t xml:space="preserve"> leasing transactions must be at a price which is not less than the current market rental value as determined by the Valuer-General.</w:t>
      </w:r>
      <w:r w:rsidR="00614376">
        <w:t xml:space="preserve"> </w:t>
      </w:r>
      <w:r>
        <w:t>To establish market rental, Cemetery Trusts must complete the Valuer-General instruction form and submit to the Manager</w:t>
      </w:r>
      <w:r w:rsidR="006B6EDA">
        <w:t>, Property</w:t>
      </w:r>
      <w:r>
        <w:t xml:space="preserve"> at the department to facilitate valuation advice.</w:t>
      </w:r>
      <w:r w:rsidR="00614376">
        <w:t xml:space="preserve"> </w:t>
      </w:r>
      <w:r>
        <w:t>(Appendix 5).</w:t>
      </w:r>
    </w:p>
    <w:p w14:paraId="313E6877" w14:textId="77777777" w:rsidR="005E7112" w:rsidRDefault="005E7112" w:rsidP="005E7112">
      <w:pPr>
        <w:pStyle w:val="DHHSbody"/>
      </w:pPr>
      <w:r>
        <w:lastRenderedPageBreak/>
        <w:t xml:space="preserve">Any consideration less than full market rent must be approved by the Minister for Health </w:t>
      </w:r>
      <w:proofErr w:type="gramStart"/>
      <w:r>
        <w:t>with regard to</w:t>
      </w:r>
      <w:proofErr w:type="gramEnd"/>
      <w:r>
        <w:t xml:space="preserve"> the estimated loss of revenue and the community benefit arising from the non-commercial lease.</w:t>
      </w:r>
    </w:p>
    <w:p w14:paraId="423A707A" w14:textId="77777777" w:rsidR="005E7112" w:rsidRPr="00007A47" w:rsidRDefault="005E7112" w:rsidP="005E7112">
      <w:pPr>
        <w:pStyle w:val="DHHSbody"/>
        <w:rPr>
          <w:b/>
        </w:rPr>
      </w:pPr>
      <w:r>
        <w:t xml:space="preserve">The department has developed </w:t>
      </w:r>
      <w:r w:rsidRPr="002C6679">
        <w:t>precedent lease and licence documents</w:t>
      </w:r>
      <w:r>
        <w:t xml:space="preserve"> for cemetery trusts to use which is</w:t>
      </w:r>
      <w:r w:rsidRPr="002C6679">
        <w:t xml:space="preserve"> intend</w:t>
      </w:r>
      <w:r>
        <w:t xml:space="preserve">ed to save time and expense </w:t>
      </w:r>
      <w:r w:rsidRPr="002C6679">
        <w:t xml:space="preserve">and to ensure that the requirements of the </w:t>
      </w:r>
      <w:r>
        <w:t>Minister are correctly documented.</w:t>
      </w:r>
    </w:p>
    <w:p w14:paraId="56F9CA97" w14:textId="77777777" w:rsidR="005E7112" w:rsidRDefault="005E7112" w:rsidP="005E7112">
      <w:pPr>
        <w:pStyle w:val="DHHSbody"/>
      </w:pPr>
      <w:r>
        <w:t>A copy of the executed document must be forwarded to the department’s Cemeteries and Crematoria Unit for placement on the trust’s file.</w:t>
      </w:r>
    </w:p>
    <w:p w14:paraId="47DDEDA1" w14:textId="77777777" w:rsidR="005E7112" w:rsidRDefault="005E7112" w:rsidP="005E7112">
      <w:pPr>
        <w:pStyle w:val="DHHSbody"/>
      </w:pPr>
      <w:r>
        <w:t xml:space="preserve">A licence must not exceed a term of three years, and a lease must not exceed a term of 21 years but ideally should not exceed </w:t>
      </w:r>
      <w:r w:rsidR="00E12732">
        <w:t>10</w:t>
      </w:r>
      <w:r>
        <w:t xml:space="preserve"> years so that the market can be regularly tested for alternative service providers (except where the tenant proposes significant capital works).</w:t>
      </w:r>
    </w:p>
    <w:p w14:paraId="27F20D1C" w14:textId="77777777" w:rsidR="005E7112" w:rsidRDefault="005E7112" w:rsidP="005E7112">
      <w:pPr>
        <w:pStyle w:val="DHHSbody"/>
      </w:pPr>
      <w:r>
        <w:br w:type="page"/>
      </w:r>
    </w:p>
    <w:p w14:paraId="0BEDB9ED" w14:textId="77777777" w:rsidR="005E7112" w:rsidRDefault="005E7112" w:rsidP="005E7112">
      <w:pPr>
        <w:pStyle w:val="Heading1"/>
      </w:pPr>
      <w:bookmarkStart w:id="77" w:name="_Toc410725719"/>
      <w:bookmarkStart w:id="78" w:name="_Toc422996717"/>
      <w:bookmarkStart w:id="79" w:name="_Toc423333232"/>
      <w:bookmarkStart w:id="80" w:name="_Toc489625205"/>
      <w:bookmarkStart w:id="81" w:name="_Toc42254588"/>
      <w:r>
        <w:lastRenderedPageBreak/>
        <w:t>Part 6: Maintenance obligations</w:t>
      </w:r>
      <w:bookmarkEnd w:id="77"/>
      <w:bookmarkEnd w:id="78"/>
      <w:bookmarkEnd w:id="79"/>
      <w:bookmarkEnd w:id="80"/>
      <w:bookmarkEnd w:id="81"/>
    </w:p>
    <w:p w14:paraId="3A0268E7" w14:textId="77777777" w:rsidR="005E7112" w:rsidRPr="00143222" w:rsidRDefault="005E7112" w:rsidP="005E7112">
      <w:pPr>
        <w:pStyle w:val="Heading2"/>
      </w:pPr>
      <w:bookmarkStart w:id="82" w:name="_Toc403741414"/>
      <w:bookmarkStart w:id="83" w:name="_Toc410725720"/>
      <w:bookmarkStart w:id="84" w:name="_Toc422996718"/>
      <w:bookmarkStart w:id="85" w:name="_Toc423333233"/>
      <w:bookmarkStart w:id="86" w:name="_Toc489625206"/>
      <w:bookmarkStart w:id="87" w:name="_Toc42254589"/>
      <w:r w:rsidRPr="00143222">
        <w:t xml:space="preserve">Operational </w:t>
      </w:r>
      <w:r>
        <w:t>m</w:t>
      </w:r>
      <w:r w:rsidRPr="00143222">
        <w:t>aintenance</w:t>
      </w:r>
      <w:bookmarkEnd w:id="82"/>
      <w:bookmarkEnd w:id="83"/>
      <w:bookmarkEnd w:id="84"/>
      <w:bookmarkEnd w:id="85"/>
      <w:bookmarkEnd w:id="86"/>
      <w:bookmarkEnd w:id="87"/>
    </w:p>
    <w:p w14:paraId="097F3B6A" w14:textId="77777777" w:rsidR="005E7112" w:rsidRDefault="005E7112" w:rsidP="005E7112">
      <w:pPr>
        <w:pStyle w:val="DHHSbody"/>
      </w:pPr>
      <w:r>
        <w:t xml:space="preserve">Health portfolio public entities are responsible for the management, operations and maintenance of buildings and/or infrastructure under their control. In compliance with the current </w:t>
      </w:r>
      <w:r w:rsidRPr="00E12732">
        <w:rPr>
          <w:iCs/>
        </w:rPr>
        <w:t>Victorian policy and funding guidelines</w:t>
      </w:r>
      <w:r>
        <w:rPr>
          <w:i/>
        </w:rPr>
        <w:t>,</w:t>
      </w:r>
      <w:r>
        <w:t xml:space="preserve"> maintenance, management processes and reporting should include:</w:t>
      </w:r>
    </w:p>
    <w:p w14:paraId="71170EA6" w14:textId="77777777" w:rsidR="005E7112" w:rsidRDefault="005E7112" w:rsidP="005E7112">
      <w:pPr>
        <w:pStyle w:val="DHHSbullet1"/>
      </w:pPr>
      <w:r>
        <w:t>internal information on the condition, suitability and capacity of property assets</w:t>
      </w:r>
    </w:p>
    <w:p w14:paraId="1C99D88A" w14:textId="77777777" w:rsidR="005E7112" w:rsidRDefault="005E7112" w:rsidP="005E7112">
      <w:pPr>
        <w:pStyle w:val="DHHSbullet1"/>
      </w:pPr>
      <w:r>
        <w:t>reporting on asset-related risks and strategies in place to mitigate them</w:t>
      </w:r>
    </w:p>
    <w:p w14:paraId="5514DEB4" w14:textId="77777777" w:rsidR="005E7112" w:rsidRDefault="005E7112" w:rsidP="005E7112">
      <w:pPr>
        <w:pStyle w:val="DHHSbullet1"/>
      </w:pPr>
      <w:r>
        <w:t>establishing annual and long-term maintenance plans for all key sites.</w:t>
      </w:r>
    </w:p>
    <w:p w14:paraId="1CB07E8D" w14:textId="77777777" w:rsidR="005E7112" w:rsidRDefault="005E7112" w:rsidP="00577484">
      <w:pPr>
        <w:pStyle w:val="DHHSbodyafterbullets"/>
      </w:pPr>
      <w:r>
        <w:t>An effective maintenance plan forms part of the asset management responsibilities of health portfolio public entities and sustains the ability to support delivery of government funded services including structural integrity, useful life and life safety.</w:t>
      </w:r>
    </w:p>
    <w:p w14:paraId="39F3B4ED" w14:textId="77777777" w:rsidR="005E7112" w:rsidRDefault="00E12732" w:rsidP="005E7112">
      <w:pPr>
        <w:pStyle w:val="DHHSbody"/>
      </w:pPr>
      <w:r>
        <w:t>Regarding</w:t>
      </w:r>
      <w:r w:rsidR="005E7112">
        <w:t xml:space="preserve"> departmental property, the department’s precedent documents for lease of Crown land and freehold land require the tenant to maintain the premises in the same condition as at commencement date </w:t>
      </w:r>
      <w:proofErr w:type="gramStart"/>
      <w:r w:rsidR="005E7112">
        <w:t>with the exception of</w:t>
      </w:r>
      <w:proofErr w:type="gramEnd"/>
      <w:r w:rsidR="005E7112">
        <w:t xml:space="preserve"> ‘wear and tear’.</w:t>
      </w:r>
    </w:p>
    <w:p w14:paraId="5570A96F" w14:textId="77777777" w:rsidR="005E7112" w:rsidRDefault="005E7112" w:rsidP="005E7112">
      <w:pPr>
        <w:pStyle w:val="DHHSbody"/>
      </w:pPr>
      <w:r>
        <w:t>Repairs and maintenance are ‘defined terms’ in the lease, but they are generally understood by the legal profession and property managers to require the tenant at its cost:</w:t>
      </w:r>
    </w:p>
    <w:p w14:paraId="5E20F026" w14:textId="77777777" w:rsidR="005E7112" w:rsidRDefault="005E7112" w:rsidP="005E7112">
      <w:pPr>
        <w:pStyle w:val="DHHSbullet1"/>
      </w:pPr>
      <w:r>
        <w:t>to fix anything that is broken (repairs)</w:t>
      </w:r>
    </w:p>
    <w:p w14:paraId="30A9C011" w14:textId="77777777" w:rsidR="005E7112" w:rsidRPr="007E63DE" w:rsidRDefault="005E7112" w:rsidP="005E7112">
      <w:pPr>
        <w:pStyle w:val="DHHSbullet1"/>
      </w:pPr>
      <w:r>
        <w:t>to have contracts in place for ongoing activities such as grounds, interior cleaning, exterior cleaning (exterior windows and gutters) and essential services (air-conditioning and life safety systems).</w:t>
      </w:r>
    </w:p>
    <w:p w14:paraId="7B3A12FB" w14:textId="77777777" w:rsidR="005E7112" w:rsidRDefault="005E7112" w:rsidP="005E7112">
      <w:pPr>
        <w:pStyle w:val="Heading2"/>
      </w:pPr>
      <w:bookmarkStart w:id="88" w:name="_Toc410725721"/>
      <w:bookmarkStart w:id="89" w:name="_Toc422996719"/>
      <w:bookmarkStart w:id="90" w:name="_Toc423333234"/>
      <w:bookmarkStart w:id="91" w:name="_Toc489625207"/>
      <w:bookmarkStart w:id="92" w:name="_Toc42254590"/>
      <w:r>
        <w:t>Maintenance – surplus assets</w:t>
      </w:r>
      <w:bookmarkEnd w:id="88"/>
      <w:bookmarkEnd w:id="89"/>
      <w:bookmarkEnd w:id="90"/>
      <w:bookmarkEnd w:id="91"/>
      <w:bookmarkEnd w:id="92"/>
    </w:p>
    <w:p w14:paraId="7DF719F8" w14:textId="77777777" w:rsidR="005E7112" w:rsidRDefault="005E7112" w:rsidP="005E7112">
      <w:pPr>
        <w:pStyle w:val="DHHSbody"/>
      </w:pPr>
      <w:r>
        <w:t>Where a property is deemed obsolete or surplus to health portfolio requirements, the health service or department’s program/region is responsible for day-to-day site management and associated costs until the property is sold and settled.</w:t>
      </w:r>
    </w:p>
    <w:p w14:paraId="0BAC49CA" w14:textId="77777777" w:rsidR="005E7112" w:rsidRDefault="005E7112" w:rsidP="005E7112">
      <w:pPr>
        <w:pStyle w:val="DHHSbody"/>
      </w:pPr>
      <w:r>
        <w:t>The Property team can assist to determine the scope of property management activities required during this period including:</w:t>
      </w:r>
    </w:p>
    <w:p w14:paraId="6B978640" w14:textId="77777777" w:rsidR="005E7112" w:rsidRDefault="005E7112" w:rsidP="005E7112">
      <w:pPr>
        <w:pStyle w:val="DHHSbullet1"/>
      </w:pPr>
      <w:r>
        <w:t>grounds maintenance</w:t>
      </w:r>
    </w:p>
    <w:p w14:paraId="2F06241C" w14:textId="77777777" w:rsidR="005E7112" w:rsidRDefault="005E7112" w:rsidP="005E7112">
      <w:pPr>
        <w:pStyle w:val="DHHSbullet1"/>
      </w:pPr>
      <w:r>
        <w:t>site and building security</w:t>
      </w:r>
    </w:p>
    <w:p w14:paraId="19A41E84" w14:textId="6306BDD7" w:rsidR="005E7112" w:rsidRDefault="005E7112" w:rsidP="005E7112">
      <w:pPr>
        <w:pStyle w:val="DHHSbullet1"/>
      </w:pPr>
      <w:r>
        <w:t>disconnection of water</w:t>
      </w:r>
      <w:r w:rsidR="00012818">
        <w:t xml:space="preserve"> and </w:t>
      </w:r>
      <w:r>
        <w:t>sewerage services</w:t>
      </w:r>
    </w:p>
    <w:p w14:paraId="48336759" w14:textId="6925D95C" w:rsidR="005E7112" w:rsidRDefault="005E7112" w:rsidP="005E7112">
      <w:pPr>
        <w:pStyle w:val="DHHSbullet1"/>
      </w:pPr>
      <w:r>
        <w:t>disconnection of electricity</w:t>
      </w:r>
      <w:r w:rsidR="00012818">
        <w:t xml:space="preserve">, </w:t>
      </w:r>
      <w:r>
        <w:t>gas</w:t>
      </w:r>
      <w:r w:rsidR="00012818">
        <w:t xml:space="preserve"> and </w:t>
      </w:r>
      <w:r>
        <w:t>telephone services</w:t>
      </w:r>
    </w:p>
    <w:p w14:paraId="7710A06A" w14:textId="77777777" w:rsidR="005E7112" w:rsidRDefault="005E7112" w:rsidP="005E7112">
      <w:pPr>
        <w:pStyle w:val="DHHSbullet1"/>
      </w:pPr>
      <w:r>
        <w:t>maintenance of fire services</w:t>
      </w:r>
    </w:p>
    <w:p w14:paraId="53E6EF9A" w14:textId="77777777" w:rsidR="005E7112" w:rsidRDefault="005E7112" w:rsidP="005E7112">
      <w:pPr>
        <w:pStyle w:val="DHHSbullet1"/>
      </w:pPr>
      <w:r>
        <w:t>building maintenance.</w:t>
      </w:r>
    </w:p>
    <w:p w14:paraId="5D82D2C4" w14:textId="4FDF68A1" w:rsidR="005E7112" w:rsidRDefault="005E7112" w:rsidP="00E12732">
      <w:pPr>
        <w:pStyle w:val="DHHSbodyafterbullets"/>
      </w:pPr>
      <w:r>
        <w:t>In preparation for divestment, some hospital facilities</w:t>
      </w:r>
      <w:r w:rsidR="00012818">
        <w:t xml:space="preserve"> and </w:t>
      </w:r>
      <w:r>
        <w:t xml:space="preserve">assets require </w:t>
      </w:r>
      <w:proofErr w:type="gramStart"/>
      <w:r>
        <w:t>particular considerations</w:t>
      </w:r>
      <w:proofErr w:type="gramEnd"/>
      <w:r>
        <w:t>,</w:t>
      </w:r>
      <w:r w:rsidR="00012818">
        <w:t xml:space="preserve"> detailed</w:t>
      </w:r>
      <w:r>
        <w:t xml:space="preserve"> as </w:t>
      </w:r>
      <w:r w:rsidR="00012818">
        <w:t>follows</w:t>
      </w:r>
      <w:r>
        <w:t>.</w:t>
      </w:r>
    </w:p>
    <w:p w14:paraId="7EDC91A6" w14:textId="77777777" w:rsidR="005E7112" w:rsidRPr="00B361D6" w:rsidRDefault="005E7112" w:rsidP="005E7112">
      <w:pPr>
        <w:pStyle w:val="Heading3"/>
      </w:pPr>
      <w:r w:rsidRPr="00B361D6">
        <w:t>Buildings</w:t>
      </w:r>
    </w:p>
    <w:p w14:paraId="6ECC9572" w14:textId="77777777" w:rsidR="005E7112" w:rsidRPr="005E048A" w:rsidRDefault="005E7112" w:rsidP="005E7112">
      <w:pPr>
        <w:pStyle w:val="DHHSbody"/>
      </w:pPr>
      <w:r>
        <w:t>Where buildings have been decommissioned and are not occupied, they need to be made safe and secure. High-value buildings and</w:t>
      </w:r>
      <w:proofErr w:type="gramStart"/>
      <w:r>
        <w:t>, in particular, buildings</w:t>
      </w:r>
      <w:proofErr w:type="gramEnd"/>
      <w:r>
        <w:t xml:space="preserve"> with a heritage value should have intruder alarms installed.</w:t>
      </w:r>
    </w:p>
    <w:p w14:paraId="398E3844" w14:textId="77777777" w:rsidR="005E7112" w:rsidRPr="00B361D6" w:rsidRDefault="005E7112" w:rsidP="005E7112">
      <w:pPr>
        <w:pStyle w:val="Heading3"/>
      </w:pPr>
      <w:r w:rsidRPr="00B361D6">
        <w:lastRenderedPageBreak/>
        <w:t>Lifts</w:t>
      </w:r>
    </w:p>
    <w:p w14:paraId="20115A4D" w14:textId="77777777" w:rsidR="005E7112" w:rsidRDefault="005E7112" w:rsidP="005E7112">
      <w:pPr>
        <w:pStyle w:val="DHHSbody"/>
      </w:pPr>
      <w:r>
        <w:t>Lifts should be parked at the ground floor. One lift should be maintained in a fully serviceable condition to enable upper level access for building inspection purposes.</w:t>
      </w:r>
    </w:p>
    <w:p w14:paraId="54C20E65" w14:textId="77777777" w:rsidR="005E7112" w:rsidRPr="00B361D6" w:rsidRDefault="005E7112" w:rsidP="005E7112">
      <w:pPr>
        <w:pStyle w:val="Heading3"/>
      </w:pPr>
      <w:r w:rsidRPr="006E05C9">
        <w:t>Boilers</w:t>
      </w:r>
      <w:r w:rsidRPr="00B361D6">
        <w:t xml:space="preserve"> (</w:t>
      </w:r>
      <w:r>
        <w:t>h</w:t>
      </w:r>
      <w:r w:rsidRPr="00B361D6">
        <w:t>ospitals)</w:t>
      </w:r>
    </w:p>
    <w:p w14:paraId="33AF0B0A" w14:textId="77777777" w:rsidR="005E7112" w:rsidRDefault="005E7112" w:rsidP="005E7112">
      <w:pPr>
        <w:pStyle w:val="DHHSbody"/>
      </w:pPr>
      <w:r>
        <w:t>If there are no services required to be provided from the boiler plant, then the boiler should be decommissioned and stored either wet (if the boiler is likely to be recommissioned in the short term) or dry (if the boiler is likely to be recommissioned in the long term or not at all). A maintenance engineer should be engaged for this purpose.</w:t>
      </w:r>
    </w:p>
    <w:p w14:paraId="5D474A02" w14:textId="77777777" w:rsidR="005E7112" w:rsidRPr="00B361D6" w:rsidRDefault="005E7112" w:rsidP="005E7112">
      <w:pPr>
        <w:pStyle w:val="Heading3"/>
      </w:pPr>
      <w:r w:rsidRPr="00B361D6">
        <w:t xml:space="preserve">Fire </w:t>
      </w:r>
      <w:r w:rsidRPr="006E05C9">
        <w:t>systems</w:t>
      </w:r>
    </w:p>
    <w:p w14:paraId="12EF2498" w14:textId="35EE3E7F" w:rsidR="005E7112" w:rsidRDefault="005E7112" w:rsidP="005E7112">
      <w:pPr>
        <w:pStyle w:val="DHHSbody"/>
      </w:pPr>
      <w:r>
        <w:t xml:space="preserve">The fire ring main, fire detection systems, hydrants and so on must continue to be maintained </w:t>
      </w:r>
      <w:r w:rsidR="00614376">
        <w:t>in line with</w:t>
      </w:r>
      <w:r>
        <w:t xml:space="preserve"> Victorian Building Code requirements.</w:t>
      </w:r>
    </w:p>
    <w:p w14:paraId="7B5B83FA" w14:textId="22FCF9E7" w:rsidR="005E7112" w:rsidRDefault="005E7112" w:rsidP="005E7112">
      <w:pPr>
        <w:pStyle w:val="Heading1"/>
      </w:pPr>
      <w:bookmarkStart w:id="93" w:name="_Toc410725722"/>
      <w:r>
        <w:br w:type="page"/>
      </w:r>
      <w:bookmarkStart w:id="94" w:name="_Toc422996720"/>
      <w:bookmarkStart w:id="95" w:name="_Toc423333235"/>
      <w:bookmarkStart w:id="96" w:name="_Toc489625208"/>
      <w:bookmarkStart w:id="97" w:name="_Toc42254591"/>
      <w:r>
        <w:lastRenderedPageBreak/>
        <w:t xml:space="preserve">Appendix 1: </w:t>
      </w:r>
      <w:bookmarkEnd w:id="94"/>
      <w:bookmarkEnd w:id="95"/>
      <w:r>
        <w:t xml:space="preserve">Key </w:t>
      </w:r>
      <w:r w:rsidR="00410EC7">
        <w:t>legislation</w:t>
      </w:r>
      <w:bookmarkEnd w:id="96"/>
      <w:bookmarkEnd w:id="97"/>
    </w:p>
    <w:tbl>
      <w:tblPr>
        <w:tblStyle w:val="TableGrid"/>
        <w:tblW w:w="0" w:type="auto"/>
        <w:tblLook w:val="04A0" w:firstRow="1" w:lastRow="0" w:firstColumn="1" w:lastColumn="0" w:noHBand="0" w:noVBand="1"/>
      </w:tblPr>
      <w:tblGrid>
        <w:gridCol w:w="2652"/>
        <w:gridCol w:w="6528"/>
      </w:tblGrid>
      <w:tr w:rsidR="00410EC7" w:rsidRPr="00DA0BC4" w14:paraId="2F867D39"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2B61479C" w14:textId="77777777" w:rsidR="00410EC7" w:rsidRPr="00DA0BC4" w:rsidRDefault="00410EC7" w:rsidP="00577484">
            <w:pPr>
              <w:pStyle w:val="DHHStablecolhead"/>
            </w:pPr>
            <w:r w:rsidRPr="00DA0BC4">
              <w:t>Legislation</w:t>
            </w:r>
          </w:p>
        </w:tc>
        <w:tc>
          <w:tcPr>
            <w:tcW w:w="6712" w:type="dxa"/>
          </w:tcPr>
          <w:p w14:paraId="4E04F70D" w14:textId="77777777" w:rsidR="00410EC7" w:rsidRPr="00DA0BC4" w:rsidRDefault="00410EC7" w:rsidP="00577484">
            <w:pPr>
              <w:pStyle w:val="DHHStablecolhead"/>
              <w:cnfStyle w:val="100000000000" w:firstRow="1" w:lastRow="0" w:firstColumn="0" w:lastColumn="0" w:oddVBand="0" w:evenVBand="0" w:oddHBand="0" w:evenHBand="0" w:firstRowFirstColumn="0" w:firstRowLastColumn="0" w:lastRowFirstColumn="0" w:lastRowLastColumn="0"/>
            </w:pPr>
            <w:r w:rsidRPr="00DA0BC4">
              <w:t>Description</w:t>
            </w:r>
          </w:p>
        </w:tc>
      </w:tr>
      <w:tr w:rsidR="00410EC7" w:rsidRPr="00DA0BC4" w14:paraId="1243256F"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557EC2D5" w14:textId="77777777" w:rsidR="00410EC7" w:rsidRPr="00DA0BC4" w:rsidRDefault="00410EC7" w:rsidP="00577484">
            <w:pPr>
              <w:pStyle w:val="DHHStabletext"/>
            </w:pPr>
            <w:r w:rsidRPr="00DA0BC4">
              <w:t>Ambulance Services Act 1986 (Vic)</w:t>
            </w:r>
          </w:p>
        </w:tc>
        <w:tc>
          <w:tcPr>
            <w:tcW w:w="6712" w:type="dxa"/>
          </w:tcPr>
          <w:p w14:paraId="7B053806" w14:textId="77777777"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Head of power to purchase, sell and lease real property</w:t>
            </w:r>
          </w:p>
        </w:tc>
      </w:tr>
      <w:tr w:rsidR="00410EC7" w:rsidRPr="00DA0BC4" w14:paraId="4F4883C6"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34FFD27D" w14:textId="77777777" w:rsidR="00410EC7" w:rsidRPr="00DA0BC4" w:rsidRDefault="00410EC7" w:rsidP="00577484">
            <w:pPr>
              <w:pStyle w:val="DHHStabletext"/>
            </w:pPr>
            <w:r w:rsidRPr="00DA0BC4">
              <w:t>Cemeteries and Crematoria Act 2003 (Vic)</w:t>
            </w:r>
          </w:p>
        </w:tc>
        <w:tc>
          <w:tcPr>
            <w:tcW w:w="6712" w:type="dxa"/>
          </w:tcPr>
          <w:p w14:paraId="553AE3F8" w14:textId="49B0C861"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Purchase or compulsory acquisition of land for cemeteries and crematoria purposes</w:t>
            </w:r>
          </w:p>
        </w:tc>
      </w:tr>
      <w:tr w:rsidR="00410EC7" w:rsidRPr="00DA0BC4" w14:paraId="0ECC5233"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2BF4253D" w14:textId="77777777" w:rsidR="00410EC7" w:rsidRPr="00DA0BC4" w:rsidRDefault="00410EC7" w:rsidP="00577484">
            <w:pPr>
              <w:pStyle w:val="DHHStabletext"/>
            </w:pPr>
            <w:r w:rsidRPr="00DA0BC4">
              <w:t>Crown Land (Reserves) Act 1978 (Vic)</w:t>
            </w:r>
          </w:p>
        </w:tc>
        <w:tc>
          <w:tcPr>
            <w:tcW w:w="6712" w:type="dxa"/>
          </w:tcPr>
          <w:p w14:paraId="504554A0" w14:textId="23C4F12F"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 xml:space="preserve">Processes involving instituting or revoking permanent or temporary reservation of Crown land and leasing and licensing of Crown land; and for the appointment of Committees of Management to manage the land in line with the reserve purpose </w:t>
            </w:r>
          </w:p>
        </w:tc>
      </w:tr>
      <w:tr w:rsidR="00410EC7" w:rsidRPr="00DA0BC4" w14:paraId="5B84CBCF"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4F7A1A5C" w14:textId="77777777" w:rsidR="00410EC7" w:rsidRPr="00DA0BC4" w:rsidRDefault="00410EC7" w:rsidP="00577484">
            <w:pPr>
              <w:pStyle w:val="DHHStabletext"/>
            </w:pPr>
            <w:r w:rsidRPr="00DA0BC4">
              <w:t>Environment Protection Act 1970 (Vic)</w:t>
            </w:r>
          </w:p>
        </w:tc>
        <w:tc>
          <w:tcPr>
            <w:tcW w:w="6712" w:type="dxa"/>
          </w:tcPr>
          <w:p w14:paraId="1A521F3B" w14:textId="2E37C20C"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Issues relating to public health and safety arising from contamination, land, air, noise and water</w:t>
            </w:r>
          </w:p>
        </w:tc>
      </w:tr>
      <w:tr w:rsidR="00410EC7" w:rsidRPr="00DA0BC4" w14:paraId="2755837A"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108BB8F1" w14:textId="77777777" w:rsidR="00410EC7" w:rsidRPr="00DA0BC4" w:rsidRDefault="00410EC7" w:rsidP="00577484">
            <w:pPr>
              <w:pStyle w:val="DHHStabletext"/>
            </w:pPr>
            <w:r w:rsidRPr="00DA0BC4">
              <w:t>Financial Management Act 1994 (Vic)</w:t>
            </w:r>
          </w:p>
        </w:tc>
        <w:tc>
          <w:tcPr>
            <w:tcW w:w="6712" w:type="dxa"/>
          </w:tcPr>
          <w:p w14:paraId="5B42A8E0" w14:textId="492C6C58"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Acquisition, leasing and licensing of land and premises</w:t>
            </w:r>
          </w:p>
        </w:tc>
      </w:tr>
      <w:tr w:rsidR="00410EC7" w:rsidRPr="00DA0BC4" w14:paraId="32E06FAD"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16A19A97" w14:textId="77777777" w:rsidR="00410EC7" w:rsidRPr="00DA0BC4" w:rsidRDefault="00410EC7" w:rsidP="00577484">
            <w:pPr>
              <w:pStyle w:val="DHHStabletext"/>
            </w:pPr>
            <w:r w:rsidRPr="00DA0BC4">
              <w:t>Health Services Act 1988 (Vic)</w:t>
            </w:r>
          </w:p>
        </w:tc>
        <w:tc>
          <w:tcPr>
            <w:tcW w:w="6712" w:type="dxa"/>
          </w:tcPr>
          <w:p w14:paraId="50B46055" w14:textId="69021D0D"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Head of power to purchase, sell and lease real property</w:t>
            </w:r>
          </w:p>
        </w:tc>
      </w:tr>
      <w:tr w:rsidR="00410EC7" w:rsidRPr="00DA0BC4" w14:paraId="74F1DA22"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67290EAC" w14:textId="77777777" w:rsidR="00410EC7" w:rsidRPr="00DA0BC4" w:rsidRDefault="00410EC7" w:rsidP="00577484">
            <w:pPr>
              <w:pStyle w:val="DHHStabletext"/>
            </w:pPr>
            <w:r w:rsidRPr="00DA0BC4">
              <w:t>Heritage Act 1995 (Vic)</w:t>
            </w:r>
          </w:p>
        </w:tc>
        <w:tc>
          <w:tcPr>
            <w:tcW w:w="6712" w:type="dxa"/>
          </w:tcPr>
          <w:p w14:paraId="2D24B99F" w14:textId="15671D01"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Limits actions in order to protect heritage-listed assets</w:t>
            </w:r>
          </w:p>
        </w:tc>
      </w:tr>
      <w:tr w:rsidR="00410EC7" w:rsidRPr="00DA0BC4" w14:paraId="203071A5"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7D4A2E3A" w14:textId="77777777" w:rsidR="00410EC7" w:rsidRPr="00DA0BC4" w:rsidRDefault="00410EC7" w:rsidP="00577484">
            <w:pPr>
              <w:pStyle w:val="DHHStabletext"/>
            </w:pPr>
            <w:r w:rsidRPr="00DA0BC4">
              <w:t>Land Act 1958 (Vic)</w:t>
            </w:r>
          </w:p>
        </w:tc>
        <w:tc>
          <w:tcPr>
            <w:tcW w:w="6712" w:type="dxa"/>
          </w:tcPr>
          <w:p w14:paraId="21DC6C38" w14:textId="64E301BA"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Sale and leasing of Crown land</w:t>
            </w:r>
          </w:p>
        </w:tc>
      </w:tr>
      <w:tr w:rsidR="00410EC7" w:rsidRPr="00DA0BC4" w14:paraId="47559F7A"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7D847D7C" w14:textId="77777777" w:rsidR="00410EC7" w:rsidRPr="00DA0BC4" w:rsidRDefault="00410EC7" w:rsidP="00577484">
            <w:pPr>
              <w:pStyle w:val="DHHStabletext"/>
            </w:pPr>
            <w:r w:rsidRPr="00DA0BC4">
              <w:t>Land Acquisition and Compensation Act 1986 (Vic)</w:t>
            </w:r>
          </w:p>
        </w:tc>
        <w:tc>
          <w:tcPr>
            <w:tcW w:w="6712" w:type="dxa"/>
          </w:tcPr>
          <w:p w14:paraId="5ECF073D" w14:textId="06BEE2D3"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Compulsory acquisition and related compensation</w:t>
            </w:r>
          </w:p>
        </w:tc>
      </w:tr>
      <w:tr w:rsidR="00410EC7" w:rsidRPr="00DA0BC4" w14:paraId="564EE56E"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3AD3EFE0" w14:textId="77777777" w:rsidR="00410EC7" w:rsidRPr="00DA0BC4" w:rsidRDefault="00410EC7" w:rsidP="00577484">
            <w:pPr>
              <w:pStyle w:val="DHHStabletext"/>
            </w:pPr>
            <w:r w:rsidRPr="00DA0BC4">
              <w:t>Native Title Act 1993 (</w:t>
            </w:r>
            <w:proofErr w:type="spellStart"/>
            <w:r w:rsidRPr="00DA0BC4">
              <w:t>Cth</w:t>
            </w:r>
            <w:proofErr w:type="spellEnd"/>
            <w:r w:rsidRPr="00DA0BC4">
              <w:t>)</w:t>
            </w:r>
          </w:p>
        </w:tc>
        <w:tc>
          <w:tcPr>
            <w:tcW w:w="6712" w:type="dxa"/>
          </w:tcPr>
          <w:p w14:paraId="6FA63512" w14:textId="3C9F8695"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 xml:space="preserve">Issues relating to claims over land in relation to native title rights in respect of Crown land; and procedural rights following determinations </w:t>
            </w:r>
          </w:p>
        </w:tc>
      </w:tr>
      <w:tr w:rsidR="00410EC7" w:rsidRPr="00DA0BC4" w14:paraId="0BCE9796"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2BC48A66" w14:textId="77777777" w:rsidR="00410EC7" w:rsidRPr="00DA0BC4" w:rsidRDefault="00410EC7" w:rsidP="00577484">
            <w:pPr>
              <w:pStyle w:val="DHHStabletext"/>
            </w:pPr>
            <w:r w:rsidRPr="00DA0BC4">
              <w:t>Planning and Environment Act 1987 (Vic)</w:t>
            </w:r>
          </w:p>
        </w:tc>
        <w:tc>
          <w:tcPr>
            <w:tcW w:w="6712" w:type="dxa"/>
          </w:tcPr>
          <w:p w14:paraId="2DFE31F0" w14:textId="4F76C13B"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Planning for the use, development and protection of land including regulations covering the ‘permitted clearing of native vegetation’</w:t>
            </w:r>
          </w:p>
        </w:tc>
      </w:tr>
      <w:tr w:rsidR="00410EC7" w:rsidRPr="00DA0BC4" w14:paraId="74CDD84C"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0F9A0F57" w14:textId="77777777" w:rsidR="00410EC7" w:rsidRPr="00DA0BC4" w:rsidRDefault="00410EC7" w:rsidP="00577484">
            <w:pPr>
              <w:pStyle w:val="DHHStabletext"/>
            </w:pPr>
            <w:r w:rsidRPr="00DA0BC4">
              <w:t>Property Law Act 1958 (Vic)</w:t>
            </w:r>
          </w:p>
        </w:tc>
        <w:tc>
          <w:tcPr>
            <w:tcW w:w="6712" w:type="dxa"/>
          </w:tcPr>
          <w:p w14:paraId="244B38C6" w14:textId="5439B299"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Transactions relating to freehold land</w:t>
            </w:r>
          </w:p>
        </w:tc>
      </w:tr>
      <w:tr w:rsidR="00410EC7" w:rsidRPr="00DA0BC4" w14:paraId="08137985"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17EFC9AF" w14:textId="77777777" w:rsidR="00410EC7" w:rsidRPr="00DA0BC4" w:rsidRDefault="00410EC7" w:rsidP="00577484">
            <w:pPr>
              <w:pStyle w:val="DHHStabletext"/>
            </w:pPr>
            <w:r w:rsidRPr="00DA0BC4">
              <w:t>Project Development and Construction Management Act 1994 (Vic)</w:t>
            </w:r>
          </w:p>
        </w:tc>
        <w:tc>
          <w:tcPr>
            <w:tcW w:w="6712" w:type="dxa"/>
          </w:tcPr>
          <w:p w14:paraId="6518EB9B" w14:textId="3AC22E4B"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To facilitate certain development projects</w:t>
            </w:r>
          </w:p>
        </w:tc>
      </w:tr>
      <w:tr w:rsidR="00410EC7" w:rsidRPr="00DA0BC4" w14:paraId="792CCCB9"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6E299F7B" w14:textId="77777777" w:rsidR="00410EC7" w:rsidRPr="00DA0BC4" w:rsidRDefault="00410EC7" w:rsidP="00577484">
            <w:pPr>
              <w:pStyle w:val="DHHStabletext"/>
            </w:pPr>
            <w:r w:rsidRPr="00DA0BC4">
              <w:t>Public Health and Wellbeing Act 2008 (Vic)</w:t>
            </w:r>
          </w:p>
        </w:tc>
        <w:tc>
          <w:tcPr>
            <w:tcW w:w="6712" w:type="dxa"/>
          </w:tcPr>
          <w:p w14:paraId="4DD82C6A" w14:textId="07453A67"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Establishes the Secretary body corporate (Secretary DHHS) with powers to transact real property</w:t>
            </w:r>
          </w:p>
        </w:tc>
      </w:tr>
      <w:tr w:rsidR="00410EC7" w:rsidRPr="00DA0BC4" w14:paraId="4288543B"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46B6DCD4" w14:textId="77777777" w:rsidR="00410EC7" w:rsidRPr="00DA0BC4" w:rsidRDefault="00410EC7" w:rsidP="00577484">
            <w:pPr>
              <w:pStyle w:val="DHHStabletext"/>
            </w:pPr>
            <w:r w:rsidRPr="00DA0BC4">
              <w:t>Residential Tenancies Act 1997 (Vic)</w:t>
            </w:r>
          </w:p>
        </w:tc>
        <w:tc>
          <w:tcPr>
            <w:tcW w:w="6712" w:type="dxa"/>
          </w:tcPr>
          <w:p w14:paraId="70428229" w14:textId="65FF30AD"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Security bonds, notices, tenant right to sublet</w:t>
            </w:r>
          </w:p>
        </w:tc>
      </w:tr>
      <w:tr w:rsidR="00410EC7" w:rsidRPr="00DA0BC4" w14:paraId="39110579"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031446A9" w14:textId="77777777" w:rsidR="00410EC7" w:rsidRPr="00DA0BC4" w:rsidRDefault="00410EC7" w:rsidP="00577484">
            <w:pPr>
              <w:pStyle w:val="DHHStabletext"/>
            </w:pPr>
            <w:r w:rsidRPr="00DA0BC4">
              <w:t>Retail Leases Act 2003 (Vic)</w:t>
            </w:r>
          </w:p>
        </w:tc>
        <w:tc>
          <w:tcPr>
            <w:tcW w:w="6712" w:type="dxa"/>
          </w:tcPr>
          <w:p w14:paraId="3BE77219" w14:textId="5507AE3A"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Minimum terms, notices, renewals, statement of outgoings, landlord obligations for certain maintenance</w:t>
            </w:r>
          </w:p>
        </w:tc>
      </w:tr>
      <w:tr w:rsidR="00410EC7" w:rsidRPr="00DA0BC4" w14:paraId="64E24D89"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5D0BBC03" w14:textId="77777777" w:rsidR="00410EC7" w:rsidRPr="00DA0BC4" w:rsidRDefault="00410EC7" w:rsidP="00577484">
            <w:pPr>
              <w:pStyle w:val="DHHStabletext"/>
            </w:pPr>
            <w:r w:rsidRPr="00DA0BC4">
              <w:t>Sale of Land Act 1962 (Vic)</w:t>
            </w:r>
          </w:p>
        </w:tc>
        <w:tc>
          <w:tcPr>
            <w:tcW w:w="6712" w:type="dxa"/>
          </w:tcPr>
          <w:p w14:paraId="5E372E79" w14:textId="77777777" w:rsidR="00382037" w:rsidRDefault="00410EC7">
            <w:pPr>
              <w:pStyle w:val="DHHStabletext"/>
              <w:cnfStyle w:val="000000000000" w:firstRow="0" w:lastRow="0" w:firstColumn="0" w:lastColumn="0" w:oddVBand="0" w:evenVBand="0" w:oddHBand="0" w:evenHBand="0" w:firstRowFirstColumn="0" w:firstRowLastColumn="0" w:lastRowFirstColumn="0" w:lastRowLastColumn="0"/>
            </w:pPr>
            <w:r w:rsidRPr="00DA0BC4">
              <w:t>The primary Act governing sales of land within Victoria. The Act governs much of the conveyancing process and requires vendors to provide certain statements to prospective purchasers.</w:t>
            </w:r>
          </w:p>
          <w:p w14:paraId="26389CC1" w14:textId="6E917B61"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The Act is administered by the Minister for Consumer Affairs</w:t>
            </w:r>
          </w:p>
        </w:tc>
      </w:tr>
      <w:tr w:rsidR="00410EC7" w:rsidRPr="00DA0BC4" w14:paraId="50DBD2D2"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58C56E2A" w14:textId="77777777" w:rsidR="00410EC7" w:rsidRPr="00DA0BC4" w:rsidRDefault="00410EC7" w:rsidP="00577484">
            <w:pPr>
              <w:pStyle w:val="DHHStabletext"/>
            </w:pPr>
            <w:r w:rsidRPr="00DA0BC4">
              <w:t>Traditional Owners Settlement Act 2010 (Vic) (and Native Title Act 1993 (</w:t>
            </w:r>
            <w:proofErr w:type="spellStart"/>
            <w:r w:rsidRPr="00DA0BC4">
              <w:t>Cth</w:t>
            </w:r>
            <w:proofErr w:type="spellEnd"/>
            <w:r w:rsidRPr="00DA0BC4">
              <w:t>))</w:t>
            </w:r>
          </w:p>
        </w:tc>
        <w:tc>
          <w:tcPr>
            <w:tcW w:w="6712" w:type="dxa"/>
          </w:tcPr>
          <w:p w14:paraId="29202297" w14:textId="26EC7881"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Issues relating to claims over land in relation to Traditional Owner</w:t>
            </w:r>
            <w:r>
              <w:t xml:space="preserve"> and </w:t>
            </w:r>
            <w:r w:rsidRPr="00DA0BC4">
              <w:t xml:space="preserve">native title rights in respect of Crown land, and procedural rights following determinations </w:t>
            </w:r>
          </w:p>
        </w:tc>
      </w:tr>
      <w:tr w:rsidR="00410EC7" w:rsidRPr="00DA0BC4" w14:paraId="7CE59E01"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1C33A592" w14:textId="77777777" w:rsidR="00410EC7" w:rsidRPr="00DA0BC4" w:rsidRDefault="00410EC7" w:rsidP="00577484">
            <w:pPr>
              <w:pStyle w:val="DHHStabletext"/>
            </w:pPr>
            <w:r w:rsidRPr="00DA0BC4">
              <w:lastRenderedPageBreak/>
              <w:t>Transfer of Land Act 1958 (Vic)</w:t>
            </w:r>
          </w:p>
        </w:tc>
        <w:tc>
          <w:tcPr>
            <w:tcW w:w="6712" w:type="dxa"/>
          </w:tcPr>
          <w:p w14:paraId="04639F5E" w14:textId="71E55410"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Deals with registration of estates (the extent of the real property held by the registered proprietor) and interests (registration of easements, rights or way and a financial interest via a ‘mortgage’ or ‘charge’) in freehold land. The Act is administered by the Minister for Environment and Climate Change insofar as it relates to the management and administration of the Office of the Registrar-General and the Office of Titles. The Act is otherwise administered by the Attorney-General</w:t>
            </w:r>
          </w:p>
        </w:tc>
      </w:tr>
      <w:tr w:rsidR="00410EC7" w:rsidRPr="00DA0BC4" w14:paraId="01946983" w14:textId="77777777" w:rsidTr="00577484">
        <w:tc>
          <w:tcPr>
            <w:cnfStyle w:val="001000000000" w:firstRow="0" w:lastRow="0" w:firstColumn="1" w:lastColumn="0" w:oddVBand="0" w:evenVBand="0" w:oddHBand="0" w:evenHBand="0" w:firstRowFirstColumn="0" w:firstRowLastColumn="0" w:lastRowFirstColumn="0" w:lastRowLastColumn="0"/>
            <w:tcW w:w="2694" w:type="dxa"/>
          </w:tcPr>
          <w:p w14:paraId="0FEB89CC" w14:textId="77777777" w:rsidR="00410EC7" w:rsidRPr="00DA0BC4" w:rsidRDefault="00410EC7" w:rsidP="00577484">
            <w:pPr>
              <w:pStyle w:val="DHHStabletext"/>
            </w:pPr>
            <w:r w:rsidRPr="00DA0BC4">
              <w:t>Valuation of Land Act 1960 (Vic)</w:t>
            </w:r>
          </w:p>
        </w:tc>
        <w:tc>
          <w:tcPr>
            <w:tcW w:w="6712" w:type="dxa"/>
          </w:tcPr>
          <w:p w14:paraId="5A120D48" w14:textId="565EC525" w:rsidR="00410EC7" w:rsidRPr="00DA0BC4" w:rsidRDefault="00410EC7" w:rsidP="00577484">
            <w:pPr>
              <w:pStyle w:val="DHHStabletext"/>
              <w:cnfStyle w:val="000000000000" w:firstRow="0" w:lastRow="0" w:firstColumn="0" w:lastColumn="0" w:oddVBand="0" w:evenVBand="0" w:oddHBand="0" w:evenHBand="0" w:firstRowFirstColumn="0" w:firstRowLastColumn="0" w:lastRowFirstColumn="0" w:lastRowLastColumn="0"/>
            </w:pPr>
            <w:r w:rsidRPr="00DA0BC4">
              <w:t>Establishes Office of the Valuer-General Victoria; standards for valuation of land for the purpose of sale, acquisition or financial accounting</w:t>
            </w:r>
          </w:p>
        </w:tc>
      </w:tr>
    </w:tbl>
    <w:p w14:paraId="2BD18BD2" w14:textId="77777777" w:rsidR="005E7112" w:rsidRDefault="005E7112" w:rsidP="00E678AC">
      <w:pPr>
        <w:pStyle w:val="DHHSbody"/>
      </w:pPr>
    </w:p>
    <w:p w14:paraId="0A0825D8" w14:textId="77777777" w:rsidR="00410EC7" w:rsidRPr="00E678AC" w:rsidRDefault="00410EC7" w:rsidP="00E678AC">
      <w:pPr>
        <w:pStyle w:val="DHHSbody"/>
      </w:pPr>
      <w:bookmarkStart w:id="98" w:name="_Toc422996724"/>
      <w:bookmarkStart w:id="99" w:name="_Toc423333239"/>
      <w:bookmarkStart w:id="100" w:name="_Toc489625209"/>
      <w:r w:rsidRPr="00E678AC">
        <w:br w:type="page"/>
      </w:r>
    </w:p>
    <w:p w14:paraId="20EDCEBC" w14:textId="5E0BE975" w:rsidR="005E7112" w:rsidRDefault="005E7112" w:rsidP="005E7112">
      <w:pPr>
        <w:pStyle w:val="Heading1"/>
      </w:pPr>
      <w:bookmarkStart w:id="101" w:name="_Toc42254592"/>
      <w:r>
        <w:lastRenderedPageBreak/>
        <w:t>Appendix 2:</w:t>
      </w:r>
      <w:r w:rsidRPr="00664208">
        <w:t xml:space="preserve"> </w:t>
      </w:r>
      <w:bookmarkEnd w:id="98"/>
      <w:bookmarkEnd w:id="99"/>
      <w:r>
        <w:t xml:space="preserve">Key </w:t>
      </w:r>
      <w:r w:rsidR="00D26A36">
        <w:t>service p</w:t>
      </w:r>
      <w:r>
        <w:t>roviders</w:t>
      </w:r>
      <w:bookmarkEnd w:id="100"/>
      <w:bookmarkEnd w:id="101"/>
    </w:p>
    <w:tbl>
      <w:tblPr>
        <w:tblStyle w:val="TableGrid"/>
        <w:tblW w:w="0" w:type="auto"/>
        <w:tblLook w:val="04A0" w:firstRow="1" w:lastRow="0" w:firstColumn="1" w:lastColumn="0" w:noHBand="0" w:noVBand="1"/>
      </w:tblPr>
      <w:tblGrid>
        <w:gridCol w:w="3471"/>
        <w:gridCol w:w="5709"/>
      </w:tblGrid>
      <w:tr w:rsidR="00FD5876" w:rsidRPr="00DC1EA3" w14:paraId="05D6C145"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21A4663" w14:textId="77777777" w:rsidR="00FD5876" w:rsidRPr="00DC1EA3" w:rsidRDefault="00FD5876" w:rsidP="00577484">
            <w:pPr>
              <w:pStyle w:val="DHHStablecolhead"/>
            </w:pPr>
            <w:r w:rsidRPr="00DC1EA3">
              <w:t>Service provider</w:t>
            </w:r>
          </w:p>
        </w:tc>
        <w:tc>
          <w:tcPr>
            <w:tcW w:w="5862" w:type="dxa"/>
          </w:tcPr>
          <w:p w14:paraId="350B194F" w14:textId="77777777" w:rsidR="00FD5876" w:rsidRPr="00DC1EA3" w:rsidRDefault="00FD5876" w:rsidP="00577484">
            <w:pPr>
              <w:pStyle w:val="DHHStablecolhead"/>
              <w:cnfStyle w:val="100000000000" w:firstRow="1" w:lastRow="0" w:firstColumn="0" w:lastColumn="0" w:oddVBand="0" w:evenVBand="0" w:oddHBand="0" w:evenHBand="0" w:firstRowFirstColumn="0" w:firstRowLastColumn="0" w:lastRowFirstColumn="0" w:lastRowLastColumn="0"/>
            </w:pPr>
            <w:r w:rsidRPr="00DC1EA3">
              <w:t>Description</w:t>
            </w:r>
          </w:p>
        </w:tc>
      </w:tr>
      <w:tr w:rsidR="00FD5876" w:rsidRPr="00DC1EA3" w14:paraId="4A730BBD"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AC1382E" w14:textId="77777777" w:rsidR="00FD5876" w:rsidRPr="00DC1EA3" w:rsidRDefault="00FD5876" w:rsidP="00577484">
            <w:pPr>
              <w:pStyle w:val="DHHStabletext"/>
            </w:pPr>
            <w:r w:rsidRPr="00DC1EA3">
              <w:t>Office of the Government Land Monitor</w:t>
            </w:r>
          </w:p>
        </w:tc>
        <w:tc>
          <w:tcPr>
            <w:tcW w:w="5862" w:type="dxa"/>
          </w:tcPr>
          <w:p w14:paraId="0194F476"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Oversee the land transaction to ensure compliance with government policy for property transactions and endorsement where the value of the relevant real estate assets exceeds $750,000</w:t>
            </w:r>
          </w:p>
        </w:tc>
      </w:tr>
      <w:tr w:rsidR="00FD5876" w:rsidRPr="00DC1EA3" w14:paraId="71177621"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3A962655" w14:textId="77777777" w:rsidR="00FD5876" w:rsidRPr="00DC1EA3" w:rsidRDefault="00FD5876" w:rsidP="00577484">
            <w:pPr>
              <w:pStyle w:val="DHHStabletext"/>
            </w:pPr>
            <w:r w:rsidRPr="00DC1EA3">
              <w:t>Office of Surveyor-General Victoria</w:t>
            </w:r>
          </w:p>
        </w:tc>
        <w:tc>
          <w:tcPr>
            <w:tcW w:w="5862" w:type="dxa"/>
          </w:tcPr>
          <w:p w14:paraId="2D495390"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Investigate the land status and conduct a boundary check, feature or field survey of the land, including preparation of a title plan to enable the issue of a Crown grant title and lease plans</w:t>
            </w:r>
          </w:p>
        </w:tc>
      </w:tr>
      <w:tr w:rsidR="00FD5876" w:rsidRPr="00DC1EA3" w14:paraId="65E4E96A"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C1BC062" w14:textId="77777777" w:rsidR="00FD5876" w:rsidRPr="00DC1EA3" w:rsidRDefault="00FD5876" w:rsidP="00577484">
            <w:pPr>
              <w:pStyle w:val="DHHStabletext"/>
            </w:pPr>
            <w:r w:rsidRPr="00DC1EA3">
              <w:t>Office of Valuer-General Victoria</w:t>
            </w:r>
          </w:p>
        </w:tc>
        <w:tc>
          <w:tcPr>
            <w:tcW w:w="5862" w:type="dxa"/>
          </w:tcPr>
          <w:p w14:paraId="3FB034C3"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Real estate valuation advice</w:t>
            </w:r>
          </w:p>
        </w:tc>
      </w:tr>
      <w:tr w:rsidR="00FD5876" w:rsidRPr="00DC1EA3" w14:paraId="6604891B"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9DB79C7" w14:textId="77777777" w:rsidR="00FD5876" w:rsidRPr="00DC1EA3" w:rsidRDefault="00FD5876" w:rsidP="00577484">
            <w:pPr>
              <w:pStyle w:val="DHHStabletext"/>
            </w:pPr>
            <w:r w:rsidRPr="00DC1EA3">
              <w:t>Land Victoria</w:t>
            </w:r>
          </w:p>
        </w:tc>
        <w:tc>
          <w:tcPr>
            <w:tcW w:w="5862" w:type="dxa"/>
          </w:tcPr>
          <w:p w14:paraId="13DB7AD9"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Register transfers of land titles</w:t>
            </w:r>
          </w:p>
        </w:tc>
      </w:tr>
      <w:tr w:rsidR="00FD5876" w:rsidRPr="00DC1EA3" w14:paraId="5EA9A3E6"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70CCC70" w14:textId="77777777" w:rsidR="00FD5876" w:rsidRPr="00DC1EA3" w:rsidRDefault="00FD5876" w:rsidP="00577484">
            <w:pPr>
              <w:pStyle w:val="DHHStabletext"/>
            </w:pPr>
            <w:r w:rsidRPr="00DC1EA3">
              <w:t>Department of Environment, Land, Water and Planning (DELWP)</w:t>
            </w:r>
          </w:p>
        </w:tc>
        <w:tc>
          <w:tcPr>
            <w:tcW w:w="5862" w:type="dxa"/>
          </w:tcPr>
          <w:p w14:paraId="210BD9A7"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Manages provision of Ministerial consents for tenures on Crown land; provides an assessment of any public or community values and native title implications for Crown land. DELWP also undertakes the removal of temporary and permanent reservations (the latter by way of an Act of Parliament) attached to Crown land to enable sale. DELWP facilitates closure of unused government roads where necessary to enable the sale of Crown land</w:t>
            </w:r>
          </w:p>
        </w:tc>
      </w:tr>
      <w:tr w:rsidR="00FD5876" w:rsidRPr="00DC1EA3" w14:paraId="7063B77D"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D018C4B" w14:textId="77777777" w:rsidR="00FD5876" w:rsidRPr="00DC1EA3" w:rsidRDefault="00FD5876" w:rsidP="00577484">
            <w:pPr>
              <w:pStyle w:val="DHHStabletext"/>
            </w:pPr>
            <w:r w:rsidRPr="00DC1EA3">
              <w:t xml:space="preserve">Department of Treasury and Finance (DTF) </w:t>
            </w:r>
          </w:p>
        </w:tc>
        <w:tc>
          <w:tcPr>
            <w:tcW w:w="5862" w:type="dxa"/>
          </w:tcPr>
          <w:p w14:paraId="2F6FD5A4"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 xml:space="preserve">Lists surplus sites on the </w:t>
            </w:r>
            <w:r w:rsidRPr="00DC1EA3">
              <w:rPr>
                <w:iCs/>
              </w:rPr>
              <w:t>first right of refusal notification</w:t>
            </w:r>
            <w:r w:rsidRPr="00DC1EA3">
              <w:t xml:space="preserve"> to allow for the first right of refusal process, responsible for administration and sale of all Crown land</w:t>
            </w:r>
          </w:p>
        </w:tc>
      </w:tr>
      <w:tr w:rsidR="00FD5876" w:rsidRPr="00DC1EA3" w14:paraId="365CFDA5"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3C83181E" w14:textId="77777777" w:rsidR="00FD5876" w:rsidRPr="00DC1EA3" w:rsidRDefault="00FD5876" w:rsidP="00577484">
            <w:pPr>
              <w:pStyle w:val="DHHStabletext"/>
            </w:pPr>
            <w:r w:rsidRPr="00DC1EA3">
              <w:t>Environmental consultants</w:t>
            </w:r>
          </w:p>
        </w:tc>
        <w:tc>
          <w:tcPr>
            <w:tcW w:w="5862" w:type="dxa"/>
          </w:tcPr>
          <w:p w14:paraId="0C410B59"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Investigate asbestos issues, air monitoring, assess land contamination impediments and devise remediation strategies</w:t>
            </w:r>
          </w:p>
        </w:tc>
      </w:tr>
      <w:tr w:rsidR="00FD5876" w:rsidRPr="00DC1EA3" w14:paraId="2012716F"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87B7224" w14:textId="77777777" w:rsidR="00FD5876" w:rsidRPr="00DC1EA3" w:rsidRDefault="00FD5876" w:rsidP="00577484">
            <w:pPr>
              <w:pStyle w:val="DHHStabletext"/>
            </w:pPr>
            <w:r w:rsidRPr="00DC1EA3">
              <w:t>Town planning consultants</w:t>
            </w:r>
          </w:p>
        </w:tc>
        <w:tc>
          <w:tcPr>
            <w:tcW w:w="5862" w:type="dxa"/>
          </w:tcPr>
          <w:p w14:paraId="22D6A8B2"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Provide advice in relation to land rezoning issues, planning overlays and the built-form requirements (includes council planners and planners within the DELWP)</w:t>
            </w:r>
          </w:p>
        </w:tc>
      </w:tr>
      <w:tr w:rsidR="00FD5876" w:rsidRPr="00DC1EA3" w14:paraId="76883D85"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7E966EB6" w14:textId="77777777" w:rsidR="00FD5876" w:rsidRPr="00DC1EA3" w:rsidRDefault="00FD5876" w:rsidP="00577484">
            <w:pPr>
              <w:pStyle w:val="DHHStabletext"/>
            </w:pPr>
            <w:r w:rsidRPr="00DC1EA3">
              <w:t>Architectural consultants</w:t>
            </w:r>
          </w:p>
        </w:tc>
        <w:tc>
          <w:tcPr>
            <w:tcW w:w="5862" w:type="dxa"/>
          </w:tcPr>
          <w:p w14:paraId="6C222F94"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Related to preparing concept plans for high-value land sites</w:t>
            </w:r>
          </w:p>
        </w:tc>
      </w:tr>
      <w:tr w:rsidR="00FD5876" w:rsidRPr="00DC1EA3" w14:paraId="1C9320E1"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63AD01CA" w14:textId="77777777" w:rsidR="00FD5876" w:rsidRPr="00DC1EA3" w:rsidRDefault="00FD5876" w:rsidP="00577484">
            <w:pPr>
              <w:pStyle w:val="DHHStabletext"/>
            </w:pPr>
            <w:r w:rsidRPr="00DC1EA3">
              <w:t>Quantity surveying consultants</w:t>
            </w:r>
          </w:p>
        </w:tc>
        <w:tc>
          <w:tcPr>
            <w:tcW w:w="5862" w:type="dxa"/>
          </w:tcPr>
          <w:p w14:paraId="7F2A8090"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Related to costing re-development options</w:t>
            </w:r>
          </w:p>
        </w:tc>
      </w:tr>
      <w:tr w:rsidR="00FD5876" w:rsidRPr="00DC1EA3" w14:paraId="060F73A3"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3612849" w14:textId="77777777" w:rsidR="00FD5876" w:rsidRPr="00DC1EA3" w:rsidRDefault="00FD5876" w:rsidP="00577484">
            <w:pPr>
              <w:pStyle w:val="DHHStabletext"/>
            </w:pPr>
            <w:r w:rsidRPr="00DC1EA3">
              <w:t>Real estate professionals</w:t>
            </w:r>
          </w:p>
        </w:tc>
        <w:tc>
          <w:tcPr>
            <w:tcW w:w="5862" w:type="dxa"/>
          </w:tcPr>
          <w:p w14:paraId="51535C79"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Assess financial feasibilities to determine the marketability of surplus land, including advise where the sale strategy calls for the removal of existing structures; to acquire and sell land; and who may be required to deal with tenancy issues</w:t>
            </w:r>
          </w:p>
        </w:tc>
      </w:tr>
      <w:tr w:rsidR="00FD5876" w:rsidRPr="00DC1EA3" w14:paraId="23CF22A0"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9D3FA5A" w14:textId="77777777" w:rsidR="00FD5876" w:rsidRPr="00DC1EA3" w:rsidRDefault="00FD5876" w:rsidP="00577484">
            <w:pPr>
              <w:pStyle w:val="DHHStabletext"/>
            </w:pPr>
            <w:r w:rsidRPr="00DC1EA3">
              <w:t xml:space="preserve">Probity auditor </w:t>
            </w:r>
          </w:p>
        </w:tc>
        <w:tc>
          <w:tcPr>
            <w:tcW w:w="5862" w:type="dxa"/>
          </w:tcPr>
          <w:p w14:paraId="743802C5"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Scrutinise high value, complex and/or potentially controversial property transactions</w:t>
            </w:r>
          </w:p>
        </w:tc>
      </w:tr>
      <w:tr w:rsidR="00FD5876" w:rsidRPr="00DC1EA3" w14:paraId="1801575B"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C700CB2" w14:textId="77777777" w:rsidR="00FD5876" w:rsidRPr="00DC1EA3" w:rsidRDefault="00FD5876" w:rsidP="00577484">
            <w:pPr>
              <w:pStyle w:val="DHHStabletext"/>
            </w:pPr>
            <w:r w:rsidRPr="00DC1EA3">
              <w:t>Heritage Victoria</w:t>
            </w:r>
          </w:p>
        </w:tc>
        <w:tc>
          <w:tcPr>
            <w:tcW w:w="5862" w:type="dxa"/>
          </w:tcPr>
          <w:p w14:paraId="51A3E7D2"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Provide advice in relation to land and associated assets that are listed on the Victorian Heritage Register</w:t>
            </w:r>
          </w:p>
        </w:tc>
      </w:tr>
      <w:tr w:rsidR="00FD5876" w:rsidRPr="00DC1EA3" w14:paraId="367DDC37"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0680FF66" w14:textId="77777777" w:rsidR="00FD5876" w:rsidRPr="00DC1EA3" w:rsidRDefault="00FD5876" w:rsidP="00577484">
            <w:pPr>
              <w:pStyle w:val="DHHStabletext"/>
            </w:pPr>
            <w:r w:rsidRPr="00DC1EA3">
              <w:t>Cultural heritage consultants</w:t>
            </w:r>
          </w:p>
        </w:tc>
        <w:tc>
          <w:tcPr>
            <w:tcW w:w="5862" w:type="dxa"/>
          </w:tcPr>
          <w:p w14:paraId="1DD2AE85"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For sites that require investigations in relation to indigenous matters and other matters of cultural significance</w:t>
            </w:r>
          </w:p>
        </w:tc>
      </w:tr>
      <w:tr w:rsidR="00FD5876" w:rsidRPr="00DC1EA3" w14:paraId="5A208687"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575F0CA" w14:textId="77777777" w:rsidR="00FD5876" w:rsidRPr="00DC1EA3" w:rsidRDefault="00FD5876" w:rsidP="00577484">
            <w:pPr>
              <w:pStyle w:val="DHHStabletext"/>
            </w:pPr>
            <w:r w:rsidRPr="00DC1EA3">
              <w:t>Flora and fauna consultants</w:t>
            </w:r>
          </w:p>
        </w:tc>
        <w:tc>
          <w:tcPr>
            <w:tcW w:w="5862" w:type="dxa"/>
          </w:tcPr>
          <w:p w14:paraId="68A341CF"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Investigate sites that may have issues associated with rare and endangered species</w:t>
            </w:r>
          </w:p>
        </w:tc>
      </w:tr>
      <w:tr w:rsidR="00FD5876" w:rsidRPr="00DC1EA3" w14:paraId="7BB1542E"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CD5CB33" w14:textId="77777777" w:rsidR="00FD5876" w:rsidRPr="00DC1EA3" w:rsidRDefault="00FD5876" w:rsidP="00577484">
            <w:pPr>
              <w:pStyle w:val="DHHStabletext"/>
            </w:pPr>
            <w:r w:rsidRPr="00DC1EA3">
              <w:t>Engineering consultants</w:t>
            </w:r>
          </w:p>
        </w:tc>
        <w:tc>
          <w:tcPr>
            <w:tcW w:w="5862" w:type="dxa"/>
          </w:tcPr>
          <w:p w14:paraId="20E13B6C"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Determine existing building and site conditions and costings associated with redevelopment of the site</w:t>
            </w:r>
          </w:p>
        </w:tc>
      </w:tr>
      <w:tr w:rsidR="00FD5876" w:rsidRPr="00DC1EA3" w14:paraId="16553AB8"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CF76085" w14:textId="77777777" w:rsidR="00FD5876" w:rsidRPr="00DC1EA3" w:rsidRDefault="00FD5876" w:rsidP="00577484">
            <w:pPr>
              <w:pStyle w:val="DHHStabletext"/>
            </w:pPr>
            <w:r w:rsidRPr="00DC1EA3">
              <w:lastRenderedPageBreak/>
              <w:t>Traffic management consultants</w:t>
            </w:r>
          </w:p>
        </w:tc>
        <w:tc>
          <w:tcPr>
            <w:tcW w:w="5862" w:type="dxa"/>
          </w:tcPr>
          <w:p w14:paraId="193EB93E"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For sites affected by complex traffic management issues including site ingress and egress</w:t>
            </w:r>
          </w:p>
        </w:tc>
      </w:tr>
      <w:tr w:rsidR="00FD5876" w:rsidRPr="00DC1EA3" w14:paraId="32637F7C"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EBA6B5A" w14:textId="77777777" w:rsidR="00FD5876" w:rsidRPr="00DC1EA3" w:rsidRDefault="00FD5876" w:rsidP="00577484">
            <w:pPr>
              <w:pStyle w:val="DHHStabletext"/>
            </w:pPr>
            <w:r w:rsidRPr="00DC1EA3">
              <w:t>Property maintenance contractors, such as gardeners, plumbers, electricians, painters, cleaners, fencers or arborists</w:t>
            </w:r>
          </w:p>
        </w:tc>
        <w:tc>
          <w:tcPr>
            <w:tcW w:w="5862" w:type="dxa"/>
          </w:tcPr>
          <w:p w14:paraId="30B5329D"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Maintain or prepare property for disposal</w:t>
            </w:r>
          </w:p>
        </w:tc>
      </w:tr>
      <w:tr w:rsidR="00FD5876" w:rsidRPr="00DC1EA3" w14:paraId="17EE5328"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E1E98B5" w14:textId="77777777" w:rsidR="00FD5876" w:rsidRPr="00DC1EA3" w:rsidRDefault="00FD5876" w:rsidP="00577484">
            <w:pPr>
              <w:pStyle w:val="DHHStabletext"/>
            </w:pPr>
            <w:r w:rsidRPr="00DC1EA3">
              <w:t>Aerial photography contractors</w:t>
            </w:r>
          </w:p>
        </w:tc>
        <w:tc>
          <w:tcPr>
            <w:tcW w:w="5862" w:type="dxa"/>
          </w:tcPr>
          <w:p w14:paraId="66D5175E"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Assist with marketing the property for sale</w:t>
            </w:r>
          </w:p>
        </w:tc>
      </w:tr>
      <w:tr w:rsidR="00FD5876" w:rsidRPr="00DC1EA3" w14:paraId="0A6F80A6"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CF8EF7D" w14:textId="77777777" w:rsidR="00FD5876" w:rsidRPr="00DC1EA3" w:rsidRDefault="00FD5876" w:rsidP="00577484">
            <w:pPr>
              <w:pStyle w:val="DHHStabletext"/>
            </w:pPr>
            <w:r w:rsidRPr="00DC1EA3">
              <w:t>Utility service providers</w:t>
            </w:r>
          </w:p>
        </w:tc>
        <w:tc>
          <w:tcPr>
            <w:tcW w:w="5862" w:type="dxa"/>
          </w:tcPr>
          <w:p w14:paraId="65084C99"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 xml:space="preserve">Includes gas, electricity and water </w:t>
            </w:r>
          </w:p>
        </w:tc>
      </w:tr>
      <w:tr w:rsidR="00FD5876" w:rsidRPr="00DC1EA3" w14:paraId="184CBBDE"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72A70577" w14:textId="77777777" w:rsidR="00FD5876" w:rsidRPr="00DC1EA3" w:rsidRDefault="00FD5876" w:rsidP="00577484">
            <w:pPr>
              <w:pStyle w:val="DHHStabletext"/>
            </w:pPr>
            <w:r w:rsidRPr="00DC1EA3">
              <w:t>Fire service, building surveyor</w:t>
            </w:r>
          </w:p>
        </w:tc>
        <w:tc>
          <w:tcPr>
            <w:tcW w:w="5862" w:type="dxa"/>
          </w:tcPr>
          <w:p w14:paraId="0C89AA08"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pPr>
            <w:r w:rsidRPr="00DC1EA3">
              <w:t>Assess the adequacy of existing fire services and work required to ensure the services are compliant with fire regulations</w:t>
            </w:r>
          </w:p>
        </w:tc>
      </w:tr>
      <w:tr w:rsidR="00FD5876" w:rsidRPr="00DC1EA3" w14:paraId="6D808A3B"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2CFE7A6" w14:textId="77777777" w:rsidR="00FD5876" w:rsidRPr="00DC1EA3" w:rsidRDefault="00FD5876" w:rsidP="00577484">
            <w:pPr>
              <w:pStyle w:val="DHHStabletext"/>
            </w:pPr>
            <w:r w:rsidRPr="00DC1EA3">
              <w:t>Security firms</w:t>
            </w:r>
          </w:p>
        </w:tc>
        <w:tc>
          <w:tcPr>
            <w:tcW w:w="5862" w:type="dxa"/>
          </w:tcPr>
          <w:p w14:paraId="0CF6A765" w14:textId="77777777" w:rsidR="00FD5876" w:rsidRPr="00DC1EA3" w:rsidRDefault="00FD5876" w:rsidP="00577484">
            <w:pPr>
              <w:pStyle w:val="DHHStabletext"/>
              <w:cnfStyle w:val="000000000000" w:firstRow="0" w:lastRow="0" w:firstColumn="0" w:lastColumn="0" w:oddVBand="0" w:evenVBand="0" w:oddHBand="0" w:evenHBand="0" w:firstRowFirstColumn="0" w:firstRowLastColumn="0" w:lastRowFirstColumn="0" w:lastRowLastColumn="0"/>
              <w:rPr>
                <w:lang w:val="fr-FR"/>
              </w:rPr>
            </w:pPr>
            <w:r w:rsidRPr="00DC1EA3">
              <w:t>Patrol and secure sites</w:t>
            </w:r>
          </w:p>
        </w:tc>
      </w:tr>
    </w:tbl>
    <w:p w14:paraId="618281F1" w14:textId="77777777" w:rsidR="005E7112" w:rsidRPr="00E678AC" w:rsidRDefault="005E7112" w:rsidP="00E678AC">
      <w:pPr>
        <w:pStyle w:val="DHHSbody"/>
      </w:pPr>
    </w:p>
    <w:p w14:paraId="4DCECEE7" w14:textId="77777777" w:rsidR="00D26A36" w:rsidRPr="00E678AC" w:rsidRDefault="00D26A36" w:rsidP="00E678AC">
      <w:pPr>
        <w:pStyle w:val="DHHSbody"/>
      </w:pPr>
      <w:bookmarkStart w:id="102" w:name="_Toc422996725"/>
      <w:bookmarkStart w:id="103" w:name="_Toc423333240"/>
      <w:bookmarkStart w:id="104" w:name="_Toc489625210"/>
      <w:r w:rsidRPr="00E678AC">
        <w:br w:type="page"/>
      </w:r>
    </w:p>
    <w:p w14:paraId="66BFF415" w14:textId="56953FE7" w:rsidR="005E7112" w:rsidRDefault="005E7112" w:rsidP="005E7112">
      <w:pPr>
        <w:pStyle w:val="Heading1"/>
      </w:pPr>
      <w:bookmarkStart w:id="105" w:name="_Toc42254593"/>
      <w:r>
        <w:lastRenderedPageBreak/>
        <w:t xml:space="preserve">Appendix 3: </w:t>
      </w:r>
      <w:bookmarkEnd w:id="102"/>
      <w:bookmarkEnd w:id="103"/>
      <w:r>
        <w:t xml:space="preserve">Acquisition </w:t>
      </w:r>
      <w:r w:rsidR="00F75A6D">
        <w:t>c</w:t>
      </w:r>
      <w:r>
        <w:t>hecklist</w:t>
      </w:r>
      <w:bookmarkEnd w:id="104"/>
      <w:bookmarkEnd w:id="105"/>
    </w:p>
    <w:p w14:paraId="6096388A" w14:textId="77777777" w:rsidR="00382037" w:rsidRDefault="002563AE" w:rsidP="00577484">
      <w:pPr>
        <w:pStyle w:val="DHHSbullet1"/>
      </w:pPr>
      <w:bookmarkStart w:id="106" w:name="_Toc489625211"/>
      <w:r>
        <w:t xml:space="preserve">Property </w:t>
      </w:r>
      <w:r w:rsidRPr="00382037">
        <w:t>acquisition</w:t>
      </w:r>
      <w:r>
        <w:t xml:space="preserve"> checklist (follows)</w:t>
      </w:r>
    </w:p>
    <w:p w14:paraId="43351B24" w14:textId="638A334C" w:rsidR="005E7112" w:rsidRPr="00E12732" w:rsidRDefault="005E7112" w:rsidP="00577484">
      <w:pPr>
        <w:pStyle w:val="DHHSbullet1"/>
      </w:pPr>
      <w:r>
        <w:t xml:space="preserve">Site </w:t>
      </w:r>
      <w:bookmarkEnd w:id="106"/>
      <w:r w:rsidR="00E14E5C">
        <w:t>selection report</w:t>
      </w:r>
    </w:p>
    <w:p w14:paraId="40F1E2B7" w14:textId="77777777" w:rsidR="00F75A6D" w:rsidRDefault="00F75A6D" w:rsidP="00F75A6D">
      <w:pPr>
        <w:pStyle w:val="DHHSbullet1"/>
      </w:pPr>
      <w:bookmarkStart w:id="107" w:name="_Toc489625212"/>
      <w:r>
        <w:t xml:space="preserve">Valuer-General valuation request form: available on DELWP’s </w:t>
      </w:r>
      <w:hyperlink r:id="rId45" w:history="1">
        <w:r w:rsidRPr="00040AC6">
          <w:rPr>
            <w:rStyle w:val="Hyperlink"/>
          </w:rPr>
          <w:t>Government valuations page</w:t>
        </w:r>
      </w:hyperlink>
      <w:r>
        <w:t xml:space="preserve"> &lt;</w:t>
      </w:r>
      <w:r w:rsidRPr="00040AC6">
        <w:t>https://www.propertyandlandtitles.vic.gov.au/valuation/government-valuations</w:t>
      </w:r>
      <w:r>
        <w:t>&gt;</w:t>
      </w:r>
    </w:p>
    <w:p w14:paraId="5BFA02E2" w14:textId="6C059FA4" w:rsidR="002563AE" w:rsidRPr="00380564" w:rsidRDefault="005E7112" w:rsidP="00577484">
      <w:pPr>
        <w:pStyle w:val="DHHSbullet1"/>
      </w:pPr>
      <w:bookmarkStart w:id="108" w:name="_Toc489625213"/>
      <w:bookmarkEnd w:id="107"/>
      <w:r>
        <w:t xml:space="preserve">Government Land Monitor </w:t>
      </w:r>
      <w:r w:rsidR="002563AE">
        <w:t>approval request</w:t>
      </w:r>
      <w:bookmarkEnd w:id="108"/>
      <w:r w:rsidRPr="00E12732">
        <w:t>:</w:t>
      </w:r>
      <w:r w:rsidR="002563AE">
        <w:t xml:space="preserve"> </w:t>
      </w:r>
      <w:r w:rsidR="002563AE" w:rsidRPr="00B3438C">
        <w:t xml:space="preserve">An </w:t>
      </w:r>
      <w:r w:rsidR="002563AE" w:rsidRPr="002563AE">
        <w:t>approval</w:t>
      </w:r>
      <w:r w:rsidR="002563AE" w:rsidRPr="00B3438C">
        <w:t xml:space="preserve"> request can be made using </w:t>
      </w:r>
      <w:hyperlink r:id="rId46" w:history="1">
        <w:r w:rsidR="002563AE" w:rsidRPr="000724AC">
          <w:rPr>
            <w:rStyle w:val="Hyperlink"/>
          </w:rPr>
          <w:t>VGLM Online</w:t>
        </w:r>
      </w:hyperlink>
      <w:r w:rsidR="002563AE" w:rsidRPr="00410EC7">
        <w:t xml:space="preserve"> &lt;https://vglm.vic.gov.au&gt;</w:t>
      </w:r>
    </w:p>
    <w:p w14:paraId="371E3015" w14:textId="77777777" w:rsidR="005E7112" w:rsidRDefault="005E7112" w:rsidP="00577484">
      <w:pPr>
        <w:pStyle w:val="DHHSbullet1"/>
        <w:numPr>
          <w:ilvl w:val="0"/>
          <w:numId w:val="0"/>
        </w:numPr>
        <w:ind w:left="284" w:hanging="284"/>
      </w:pPr>
    </w:p>
    <w:p w14:paraId="14ABF1C2" w14:textId="77777777" w:rsidR="004C1C7D" w:rsidRDefault="004C1C7D">
      <w:pPr>
        <w:sectPr w:rsidR="004C1C7D" w:rsidSect="00577484">
          <w:headerReference w:type="even" r:id="rId47"/>
          <w:headerReference w:type="default" r:id="rId48"/>
          <w:footerReference w:type="even" r:id="rId49"/>
          <w:footerReference w:type="default" r:id="rId50"/>
          <w:footerReference w:type="first" r:id="rId51"/>
          <w:pgSz w:w="11906" w:h="16838"/>
          <w:pgMar w:top="1134" w:right="1304" w:bottom="1701" w:left="1304" w:header="454" w:footer="510" w:gutter="0"/>
          <w:pgNumType w:start="1"/>
          <w:cols w:space="720"/>
          <w:docGrid w:linePitch="360"/>
        </w:sectPr>
      </w:pPr>
    </w:p>
    <w:p w14:paraId="2F622679" w14:textId="03837B2E" w:rsidR="00614376" w:rsidRDefault="004C1C7D" w:rsidP="00577484">
      <w:pPr>
        <w:pStyle w:val="DHHSmainheading"/>
      </w:pPr>
      <w:r>
        <w:rPr>
          <w:noProof/>
        </w:rPr>
        <w:lastRenderedPageBreak/>
        <w:drawing>
          <wp:anchor distT="0" distB="0" distL="114300" distR="114300" simplePos="0" relativeHeight="251665408" behindDoc="1" locked="1" layoutInCell="0" allowOverlap="1" wp14:anchorId="26DE6A48" wp14:editId="1D51C316">
            <wp:simplePos x="0" y="0"/>
            <wp:positionH relativeFrom="page">
              <wp:posOffset>0</wp:posOffset>
            </wp:positionH>
            <wp:positionV relativeFrom="page">
              <wp:posOffset>-356235</wp:posOffset>
            </wp:positionV>
            <wp:extent cx="7563485" cy="2073275"/>
            <wp:effectExtent l="0" t="0" r="0" b="3175"/>
            <wp:wrapNone/>
            <wp:docPr id="1" name="Picture 1" descr="Heading: Property acquisi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376">
        <w:t>Property acquisition checklist</w:t>
      </w:r>
    </w:p>
    <w:p w14:paraId="636ACF57" w14:textId="77777777" w:rsidR="005E7112" w:rsidRPr="005D0849" w:rsidRDefault="005E7112" w:rsidP="00577484">
      <w:pPr>
        <w:pStyle w:val="AppendixHeading2"/>
        <w:spacing w:before="1200"/>
      </w:pPr>
      <w:r w:rsidRPr="005D0849">
        <w:t>Purpose</w:t>
      </w:r>
    </w:p>
    <w:p w14:paraId="13A11F37" w14:textId="77777777" w:rsidR="005E7112" w:rsidRPr="00381667" w:rsidRDefault="005E7112" w:rsidP="005E7112">
      <w:pPr>
        <w:spacing w:after="120" w:line="270" w:lineRule="atLeast"/>
        <w:rPr>
          <w:rFonts w:ascii="Arial" w:eastAsia="Times" w:hAnsi="Arial"/>
        </w:rPr>
      </w:pPr>
      <w:r w:rsidRPr="00381667">
        <w:rPr>
          <w:rFonts w:ascii="Arial" w:eastAsia="Times" w:hAnsi="Arial"/>
        </w:rPr>
        <w:t xml:space="preserve">This checklist is for use by staff to ensure the proper processes are applied to the acquisition of land. </w:t>
      </w:r>
    </w:p>
    <w:p w14:paraId="273735F5" w14:textId="22845303" w:rsidR="005E7112" w:rsidRPr="00381667" w:rsidRDefault="005E7112" w:rsidP="005E7112">
      <w:pPr>
        <w:spacing w:after="120" w:line="270" w:lineRule="atLeast"/>
        <w:rPr>
          <w:rFonts w:ascii="Arial" w:eastAsia="Times" w:hAnsi="Arial"/>
        </w:rPr>
      </w:pPr>
      <w:r w:rsidRPr="00381667">
        <w:rPr>
          <w:rFonts w:ascii="Arial" w:eastAsia="Times" w:hAnsi="Arial"/>
        </w:rPr>
        <w:t xml:space="preserve">It is incumbent on all Boards, Chief Executives, Trusts and Secretaries responsible for Health </w:t>
      </w:r>
      <w:r w:rsidR="00B066B1">
        <w:rPr>
          <w:rFonts w:ascii="Arial" w:eastAsia="Times" w:hAnsi="Arial"/>
        </w:rPr>
        <w:t>p</w:t>
      </w:r>
      <w:r w:rsidR="00B066B1" w:rsidRPr="00381667">
        <w:rPr>
          <w:rFonts w:ascii="Arial" w:eastAsia="Times" w:hAnsi="Arial"/>
        </w:rPr>
        <w:t xml:space="preserve">ortfolio </w:t>
      </w:r>
      <w:r w:rsidRPr="00381667">
        <w:rPr>
          <w:rFonts w:ascii="Arial" w:eastAsia="Times" w:hAnsi="Arial"/>
        </w:rPr>
        <w:t xml:space="preserve">public entities to ensure that all property transactions in which they are involved are carried out </w:t>
      </w:r>
      <w:r w:rsidR="00614376">
        <w:rPr>
          <w:rFonts w:ascii="Arial" w:eastAsia="Times" w:hAnsi="Arial"/>
        </w:rPr>
        <w:t>in line with</w:t>
      </w:r>
      <w:r w:rsidRPr="00381667">
        <w:rPr>
          <w:rFonts w:ascii="Arial" w:eastAsia="Times" w:hAnsi="Arial"/>
        </w:rPr>
        <w:t xml:space="preserve"> </w:t>
      </w:r>
      <w:r w:rsidR="00B066B1">
        <w:rPr>
          <w:rFonts w:ascii="Arial" w:eastAsia="Times" w:hAnsi="Arial"/>
        </w:rPr>
        <w:t>w</w:t>
      </w:r>
      <w:r w:rsidR="00B066B1" w:rsidRPr="00381667">
        <w:rPr>
          <w:rFonts w:ascii="Arial" w:eastAsia="Times" w:hAnsi="Arial"/>
        </w:rPr>
        <w:t xml:space="preserve">hole </w:t>
      </w:r>
      <w:r w:rsidRPr="00381667">
        <w:rPr>
          <w:rFonts w:ascii="Arial" w:eastAsia="Times" w:hAnsi="Arial"/>
        </w:rPr>
        <w:t xml:space="preserve">of Victorian Government and Victorian Department of Health and Human Services policies, procedures and guidelines. </w:t>
      </w:r>
    </w:p>
    <w:p w14:paraId="0C1DBB98" w14:textId="77777777" w:rsidR="005E7112" w:rsidRPr="00381667" w:rsidRDefault="005E7112" w:rsidP="005E7112">
      <w:pPr>
        <w:spacing w:after="120" w:line="270" w:lineRule="atLeast"/>
        <w:rPr>
          <w:rFonts w:ascii="Arial" w:eastAsia="Times" w:hAnsi="Arial"/>
        </w:rPr>
      </w:pPr>
      <w:r w:rsidRPr="00381667">
        <w:rPr>
          <w:rFonts w:ascii="Arial" w:eastAsia="Times" w:hAnsi="Arial"/>
        </w:rPr>
        <w:t>The actual process is tailored for each individual project depending on project requirements.</w:t>
      </w:r>
    </w:p>
    <w:p w14:paraId="6BB2638C" w14:textId="49714CBE" w:rsidR="005E7112" w:rsidRDefault="005E7112" w:rsidP="00577484">
      <w:pPr>
        <w:pStyle w:val="AppendixHeading2"/>
      </w:pPr>
      <w:r w:rsidRPr="005D0849">
        <w:t xml:space="preserve">Project </w:t>
      </w:r>
      <w:r w:rsidR="00410EC7" w:rsidRPr="005D0849">
        <w:t>details</w:t>
      </w:r>
    </w:p>
    <w:p w14:paraId="79B9CD6C" w14:textId="0D2C7E8F" w:rsidR="00B066B1" w:rsidRPr="00577484" w:rsidRDefault="00B066B1" w:rsidP="00577484">
      <w:pPr>
        <w:pStyle w:val="DHHSbody"/>
        <w:rPr>
          <w:bCs/>
        </w:rPr>
      </w:pPr>
      <w:r>
        <w:rPr>
          <w:b/>
          <w:bCs/>
        </w:rPr>
        <w:t xml:space="preserve">Note: </w:t>
      </w:r>
      <w:r w:rsidRPr="00577484">
        <w:t xml:space="preserve">Land </w:t>
      </w:r>
      <w:r w:rsidRPr="00577484">
        <w:rPr>
          <w:b/>
          <w:bCs/>
        </w:rPr>
        <w:t>must</w:t>
      </w:r>
      <w:r w:rsidRPr="00577484">
        <w:t xml:space="preserve"> be acquired in line with the Victorian Government land transactions policy and guidelines.</w:t>
      </w:r>
    </w:p>
    <w:tbl>
      <w:tblPr>
        <w:tblStyle w:val="TableGrid"/>
        <w:tblW w:w="0" w:type="auto"/>
        <w:tblLook w:val="04A0" w:firstRow="1" w:lastRow="0" w:firstColumn="1" w:lastColumn="0" w:noHBand="0" w:noVBand="1"/>
      </w:tblPr>
      <w:tblGrid>
        <w:gridCol w:w="3469"/>
        <w:gridCol w:w="5711"/>
      </w:tblGrid>
      <w:tr w:rsidR="00B066B1" w:rsidRPr="003B10A0" w14:paraId="39EA7660"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F817AAB" w14:textId="77777777" w:rsidR="00B066B1" w:rsidRPr="003B10A0" w:rsidRDefault="00B066B1" w:rsidP="004C1C7D">
            <w:pPr>
              <w:pStyle w:val="DHHStablecolhead"/>
            </w:pPr>
            <w:r w:rsidRPr="003B10A0">
              <w:t>Question</w:t>
            </w:r>
          </w:p>
        </w:tc>
        <w:tc>
          <w:tcPr>
            <w:tcW w:w="5862" w:type="dxa"/>
          </w:tcPr>
          <w:p w14:paraId="354BD9AC"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68FFC122"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72CC0103" w14:textId="77777777" w:rsidR="00B066B1" w:rsidRPr="000724AC" w:rsidRDefault="00B066B1" w:rsidP="004C1C7D">
            <w:pPr>
              <w:pStyle w:val="DHHStabletext"/>
            </w:pPr>
            <w:r w:rsidRPr="000724AC">
              <w:t xml:space="preserve">Health portfolio public entity </w:t>
            </w:r>
          </w:p>
        </w:tc>
        <w:tc>
          <w:tcPr>
            <w:tcW w:w="5862" w:type="dxa"/>
          </w:tcPr>
          <w:p w14:paraId="174FBC84"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2999BFB8"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36A1237F" w14:textId="77777777" w:rsidR="00B066B1" w:rsidRPr="000724AC" w:rsidRDefault="00B066B1" w:rsidP="004C1C7D">
            <w:pPr>
              <w:pStyle w:val="DHHStabletext"/>
            </w:pPr>
            <w:r w:rsidRPr="000724AC">
              <w:t>Project objective</w:t>
            </w:r>
          </w:p>
        </w:tc>
        <w:tc>
          <w:tcPr>
            <w:tcW w:w="5862" w:type="dxa"/>
          </w:tcPr>
          <w:p w14:paraId="5EDB996C" w14:textId="0FC19DB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r w:rsidRPr="00B066B1">
              <w:t>To acquire property</w:t>
            </w:r>
            <w:r>
              <w:t xml:space="preserve"> or </w:t>
            </w:r>
            <w:r w:rsidRPr="00B066B1">
              <w:t>land to meet infrastructure</w:t>
            </w:r>
            <w:r>
              <w:t xml:space="preserve"> or </w:t>
            </w:r>
            <w:r w:rsidRPr="00B066B1">
              <w:t>service delivery requirements</w:t>
            </w:r>
          </w:p>
        </w:tc>
      </w:tr>
      <w:tr w:rsidR="00B066B1" w:rsidRPr="003B10A0" w14:paraId="202DD504"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0A5CB683" w14:textId="77777777" w:rsidR="00B066B1" w:rsidRPr="000724AC" w:rsidRDefault="00B066B1" w:rsidP="004C1C7D">
            <w:pPr>
              <w:pStyle w:val="DHHStabletext"/>
            </w:pPr>
            <w:r w:rsidRPr="000724AC">
              <w:t>Deliverables</w:t>
            </w:r>
            <w:r>
              <w:t xml:space="preserve"> – FY and file number</w:t>
            </w:r>
          </w:p>
        </w:tc>
        <w:tc>
          <w:tcPr>
            <w:tcW w:w="5862" w:type="dxa"/>
          </w:tcPr>
          <w:p w14:paraId="21D269B4"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2F86ED74"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1951BDE4" w14:textId="77777777" w:rsidR="00B066B1" w:rsidRPr="000724AC" w:rsidRDefault="00B066B1" w:rsidP="004C1C7D">
            <w:pPr>
              <w:pStyle w:val="DHHStabletext"/>
            </w:pPr>
            <w:r w:rsidRPr="000724AC">
              <w:t>Project manager</w:t>
            </w:r>
          </w:p>
        </w:tc>
        <w:tc>
          <w:tcPr>
            <w:tcW w:w="5862" w:type="dxa"/>
          </w:tcPr>
          <w:p w14:paraId="6FEE9995"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091B4133"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66504C96" w14:textId="77777777" w:rsidR="00B066B1" w:rsidRPr="000724AC" w:rsidRDefault="00B066B1" w:rsidP="004C1C7D">
            <w:pPr>
              <w:pStyle w:val="DHHStabletext"/>
            </w:pPr>
            <w:r w:rsidRPr="000724AC">
              <w:t>Property address</w:t>
            </w:r>
          </w:p>
        </w:tc>
        <w:tc>
          <w:tcPr>
            <w:tcW w:w="5862" w:type="dxa"/>
          </w:tcPr>
          <w:p w14:paraId="31970157"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64FFAFED"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75A0E5CA" w14:textId="77777777" w:rsidR="00B066B1" w:rsidRPr="000724AC" w:rsidRDefault="00B066B1" w:rsidP="004C1C7D">
            <w:pPr>
              <w:pStyle w:val="DHHStabletext"/>
            </w:pPr>
            <w:r w:rsidRPr="000724AC">
              <w:t xml:space="preserve">Legal description </w:t>
            </w:r>
            <w:r>
              <w:t>– Volume and folio</w:t>
            </w:r>
          </w:p>
        </w:tc>
        <w:tc>
          <w:tcPr>
            <w:tcW w:w="5862" w:type="dxa"/>
          </w:tcPr>
          <w:p w14:paraId="389C734A"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592EC520"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400D1354" w14:textId="77777777" w:rsidR="00B066B1" w:rsidRPr="000724AC" w:rsidRDefault="00B066B1" w:rsidP="004C1C7D">
            <w:pPr>
              <w:pStyle w:val="DHHStabletext"/>
            </w:pPr>
            <w:r w:rsidRPr="000724AC">
              <w:t>Land area</w:t>
            </w:r>
            <w:r>
              <w:t xml:space="preserve"> (hectares)</w:t>
            </w:r>
          </w:p>
        </w:tc>
        <w:tc>
          <w:tcPr>
            <w:tcW w:w="5862" w:type="dxa"/>
          </w:tcPr>
          <w:p w14:paraId="50AB5D80"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2CC13966" w14:textId="77777777" w:rsidTr="004C1C7D">
        <w:tc>
          <w:tcPr>
            <w:cnfStyle w:val="001000000000" w:firstRow="0" w:lastRow="0" w:firstColumn="1" w:lastColumn="0" w:oddVBand="0" w:evenVBand="0" w:oddHBand="0" w:evenHBand="0" w:firstRowFirstColumn="0" w:firstRowLastColumn="0" w:lastRowFirstColumn="0" w:lastRowLastColumn="0"/>
            <w:tcW w:w="3544" w:type="dxa"/>
          </w:tcPr>
          <w:p w14:paraId="724D3D5B" w14:textId="77777777" w:rsidR="00B066B1" w:rsidRPr="000724AC" w:rsidRDefault="00B066B1" w:rsidP="004C1C7D">
            <w:pPr>
              <w:pStyle w:val="DHHStabletext"/>
            </w:pPr>
            <w:r w:rsidRPr="000724AC">
              <w:t>Legislative provisions authorising transaction</w:t>
            </w:r>
            <w:r>
              <w:t xml:space="preserve"> – Act and section</w:t>
            </w:r>
          </w:p>
        </w:tc>
        <w:tc>
          <w:tcPr>
            <w:tcW w:w="5862" w:type="dxa"/>
          </w:tcPr>
          <w:p w14:paraId="1837B902"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FB89BB9" w14:textId="1D36F3ED" w:rsidR="005E7112" w:rsidRDefault="005E7112" w:rsidP="00577484">
      <w:pPr>
        <w:pStyle w:val="AppendixHeading2"/>
      </w:pPr>
      <w:r w:rsidRPr="005D0849">
        <w:t xml:space="preserve">Due </w:t>
      </w:r>
      <w:r w:rsidR="003A56B7">
        <w:t>d</w:t>
      </w:r>
      <w:r w:rsidR="003A56B7" w:rsidRPr="005D0849">
        <w:t>iligence</w:t>
      </w:r>
    </w:p>
    <w:tbl>
      <w:tblPr>
        <w:tblStyle w:val="TableGrid"/>
        <w:tblW w:w="0" w:type="auto"/>
        <w:tblLook w:val="04A0" w:firstRow="1" w:lastRow="0" w:firstColumn="1" w:lastColumn="0" w:noHBand="0" w:noVBand="1"/>
      </w:tblPr>
      <w:tblGrid>
        <w:gridCol w:w="3466"/>
        <w:gridCol w:w="1410"/>
        <w:gridCol w:w="4304"/>
      </w:tblGrid>
      <w:tr w:rsidR="00B066B1" w:rsidRPr="003B10A0" w14:paraId="6E712BA2" w14:textId="77777777" w:rsidTr="00B34B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43E1356" w14:textId="77777777" w:rsidR="00B066B1" w:rsidRPr="003B10A0" w:rsidRDefault="00B066B1" w:rsidP="004C1C7D">
            <w:pPr>
              <w:pStyle w:val="DHHStablecolhead"/>
            </w:pPr>
            <w:r>
              <w:t>Project task</w:t>
            </w:r>
          </w:p>
        </w:tc>
        <w:tc>
          <w:tcPr>
            <w:tcW w:w="1418" w:type="dxa"/>
          </w:tcPr>
          <w:p w14:paraId="0C78AF8C"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t>Required? (Yes or No)</w:t>
            </w:r>
          </w:p>
        </w:tc>
        <w:tc>
          <w:tcPr>
            <w:tcW w:w="4440" w:type="dxa"/>
          </w:tcPr>
          <w:p w14:paraId="0CF35784"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t>Details</w:t>
            </w:r>
          </w:p>
        </w:tc>
      </w:tr>
      <w:tr w:rsidR="00B066B1" w:rsidRPr="003B10A0" w14:paraId="61825FD1" w14:textId="77777777" w:rsidTr="00B34BA5">
        <w:tc>
          <w:tcPr>
            <w:cnfStyle w:val="001000000000" w:firstRow="0" w:lastRow="0" w:firstColumn="1" w:lastColumn="0" w:oddVBand="0" w:evenVBand="0" w:oddHBand="0" w:evenHBand="0" w:firstRowFirstColumn="0" w:firstRowLastColumn="0" w:lastRowFirstColumn="0" w:lastRowLastColumn="0"/>
            <w:tcW w:w="3544" w:type="dxa"/>
          </w:tcPr>
          <w:p w14:paraId="06A3C70A" w14:textId="77907F4F" w:rsidR="00B066B1" w:rsidRPr="003B10A0" w:rsidRDefault="00B066B1" w:rsidP="004C1C7D">
            <w:pPr>
              <w:pStyle w:val="DHHStabletext"/>
            </w:pPr>
            <w:r>
              <w:t>Check survey</w:t>
            </w:r>
          </w:p>
        </w:tc>
        <w:tc>
          <w:tcPr>
            <w:tcW w:w="1418" w:type="dxa"/>
          </w:tcPr>
          <w:p w14:paraId="54176E5F"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4440" w:type="dxa"/>
          </w:tcPr>
          <w:p w14:paraId="21F22501"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561B788B" w14:textId="77777777" w:rsidTr="00B34BA5">
        <w:tc>
          <w:tcPr>
            <w:cnfStyle w:val="001000000000" w:firstRow="0" w:lastRow="0" w:firstColumn="1" w:lastColumn="0" w:oddVBand="0" w:evenVBand="0" w:oddHBand="0" w:evenHBand="0" w:firstRowFirstColumn="0" w:firstRowLastColumn="0" w:lastRowFirstColumn="0" w:lastRowLastColumn="0"/>
            <w:tcW w:w="3544" w:type="dxa"/>
          </w:tcPr>
          <w:p w14:paraId="61A2C790" w14:textId="77777777" w:rsidR="00B066B1" w:rsidRPr="003B10A0" w:rsidRDefault="00B066B1" w:rsidP="004C1C7D">
            <w:pPr>
              <w:pStyle w:val="DHHStabletext"/>
            </w:pPr>
            <w:r>
              <w:t>Building condition</w:t>
            </w:r>
          </w:p>
        </w:tc>
        <w:tc>
          <w:tcPr>
            <w:tcW w:w="1418" w:type="dxa"/>
          </w:tcPr>
          <w:p w14:paraId="3CCEDC12"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4440" w:type="dxa"/>
          </w:tcPr>
          <w:p w14:paraId="66DD6292"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637E74E6" w14:textId="77777777" w:rsidTr="00B34BA5">
        <w:tc>
          <w:tcPr>
            <w:cnfStyle w:val="001000000000" w:firstRow="0" w:lastRow="0" w:firstColumn="1" w:lastColumn="0" w:oddVBand="0" w:evenVBand="0" w:oddHBand="0" w:evenHBand="0" w:firstRowFirstColumn="0" w:firstRowLastColumn="0" w:lastRowFirstColumn="0" w:lastRowLastColumn="0"/>
            <w:tcW w:w="3544" w:type="dxa"/>
          </w:tcPr>
          <w:p w14:paraId="76EC4FD9" w14:textId="77777777" w:rsidR="00B066B1" w:rsidRPr="003B10A0" w:rsidRDefault="00B066B1" w:rsidP="004C1C7D">
            <w:pPr>
              <w:pStyle w:val="DHHStabletext"/>
            </w:pPr>
            <w:r>
              <w:t>Hazardous materials</w:t>
            </w:r>
          </w:p>
        </w:tc>
        <w:tc>
          <w:tcPr>
            <w:tcW w:w="1418" w:type="dxa"/>
          </w:tcPr>
          <w:p w14:paraId="62C0327D"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4440" w:type="dxa"/>
          </w:tcPr>
          <w:p w14:paraId="025DCC97"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39A48509" w14:textId="77777777" w:rsidTr="00B34BA5">
        <w:tc>
          <w:tcPr>
            <w:cnfStyle w:val="001000000000" w:firstRow="0" w:lastRow="0" w:firstColumn="1" w:lastColumn="0" w:oddVBand="0" w:evenVBand="0" w:oddHBand="0" w:evenHBand="0" w:firstRowFirstColumn="0" w:firstRowLastColumn="0" w:lastRowFirstColumn="0" w:lastRowLastColumn="0"/>
            <w:tcW w:w="3544" w:type="dxa"/>
          </w:tcPr>
          <w:p w14:paraId="055796AB" w14:textId="77777777" w:rsidR="00B066B1" w:rsidRDefault="00B066B1" w:rsidP="004C1C7D">
            <w:pPr>
              <w:pStyle w:val="DHHStabletext"/>
            </w:pPr>
            <w:r>
              <w:t>Service identification (relocation, removal, establishment)</w:t>
            </w:r>
          </w:p>
        </w:tc>
        <w:tc>
          <w:tcPr>
            <w:tcW w:w="1418" w:type="dxa"/>
          </w:tcPr>
          <w:p w14:paraId="0C3BD2F3"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4440" w:type="dxa"/>
          </w:tcPr>
          <w:p w14:paraId="6E1869EC"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10A4840D" w14:textId="77777777" w:rsidTr="00B34BA5">
        <w:tc>
          <w:tcPr>
            <w:cnfStyle w:val="001000000000" w:firstRow="0" w:lastRow="0" w:firstColumn="1" w:lastColumn="0" w:oddVBand="0" w:evenVBand="0" w:oddHBand="0" w:evenHBand="0" w:firstRowFirstColumn="0" w:firstRowLastColumn="0" w:lastRowFirstColumn="0" w:lastRowLastColumn="0"/>
            <w:tcW w:w="3544" w:type="dxa"/>
          </w:tcPr>
          <w:p w14:paraId="485149AB" w14:textId="7025BA7C" w:rsidR="00B066B1" w:rsidRDefault="00B066B1" w:rsidP="004C1C7D">
            <w:pPr>
              <w:pStyle w:val="DHHStabletext"/>
            </w:pPr>
            <w:r>
              <w:t>Geo-tech</w:t>
            </w:r>
          </w:p>
        </w:tc>
        <w:tc>
          <w:tcPr>
            <w:tcW w:w="1418" w:type="dxa"/>
          </w:tcPr>
          <w:p w14:paraId="71840327"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4440" w:type="dxa"/>
          </w:tcPr>
          <w:p w14:paraId="7079EDCB"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2335116" w14:textId="77777777" w:rsidR="004C1C7D" w:rsidRDefault="004C1C7D" w:rsidP="000E2978">
      <w:pPr>
        <w:pStyle w:val="DHHSbody"/>
      </w:pPr>
    </w:p>
    <w:p w14:paraId="4423AA15" w14:textId="77777777" w:rsidR="004C1C7D" w:rsidRDefault="004C1C7D">
      <w:pPr>
        <w:rPr>
          <w:rFonts w:ascii="Arial" w:eastAsia="MS Gothic" w:hAnsi="Arial"/>
          <w:b/>
          <w:bCs/>
          <w:sz w:val="24"/>
          <w:szCs w:val="26"/>
        </w:rPr>
      </w:pPr>
      <w:r>
        <w:br w:type="page"/>
      </w:r>
    </w:p>
    <w:p w14:paraId="48943F24" w14:textId="65BAA39D" w:rsidR="00B066B1" w:rsidRDefault="00B066B1" w:rsidP="00B066B1">
      <w:pPr>
        <w:pStyle w:val="Heading3"/>
      </w:pPr>
      <w:r>
        <w:lastRenderedPageBreak/>
        <w:t>Environmental assessment</w:t>
      </w:r>
    </w:p>
    <w:tbl>
      <w:tblPr>
        <w:tblStyle w:val="TableGrid"/>
        <w:tblW w:w="0" w:type="auto"/>
        <w:tblLook w:val="04A0" w:firstRow="1" w:lastRow="0" w:firstColumn="1" w:lastColumn="0" w:noHBand="0" w:noVBand="1"/>
      </w:tblPr>
      <w:tblGrid>
        <w:gridCol w:w="4594"/>
        <w:gridCol w:w="4586"/>
      </w:tblGrid>
      <w:tr w:rsidR="00B066B1" w:rsidRPr="003B10A0" w14:paraId="5083081C"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4" w:type="dxa"/>
          </w:tcPr>
          <w:p w14:paraId="7A472DC1" w14:textId="77777777" w:rsidR="00B066B1" w:rsidRPr="003B10A0" w:rsidRDefault="00B066B1" w:rsidP="004C1C7D">
            <w:pPr>
              <w:pStyle w:val="DHHStablecolhead"/>
            </w:pPr>
            <w:r w:rsidRPr="003B10A0">
              <w:t>Question</w:t>
            </w:r>
            <w:r>
              <w:t xml:space="preserve"> or action</w:t>
            </w:r>
          </w:p>
        </w:tc>
        <w:tc>
          <w:tcPr>
            <w:tcW w:w="4702" w:type="dxa"/>
          </w:tcPr>
          <w:p w14:paraId="17B3319D"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35F63AC8"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4DDAFD3A" w14:textId="77777777" w:rsidR="00B066B1" w:rsidRPr="003B10A0" w:rsidRDefault="00B066B1" w:rsidP="004C1C7D">
            <w:pPr>
              <w:pStyle w:val="DHHStabletext"/>
            </w:pPr>
            <w:r w:rsidRPr="003B10A0">
              <w:t>Required? (Yes or No)</w:t>
            </w:r>
          </w:p>
        </w:tc>
        <w:tc>
          <w:tcPr>
            <w:tcW w:w="4702" w:type="dxa"/>
          </w:tcPr>
          <w:p w14:paraId="653178DA"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226E3547"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4239E099" w14:textId="77777777" w:rsidR="00B066B1" w:rsidRPr="003B10A0" w:rsidRDefault="00B066B1" w:rsidP="004C1C7D">
            <w:pPr>
              <w:pStyle w:val="DHHStabletext"/>
            </w:pPr>
            <w:r>
              <w:t>Desktop analysis</w:t>
            </w:r>
          </w:p>
        </w:tc>
        <w:tc>
          <w:tcPr>
            <w:tcW w:w="4702" w:type="dxa"/>
          </w:tcPr>
          <w:p w14:paraId="416A3489"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094E2B86"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78FE9F89" w14:textId="77777777" w:rsidR="00B066B1" w:rsidRPr="003B10A0" w:rsidRDefault="00B066B1" w:rsidP="004C1C7D">
            <w:pPr>
              <w:pStyle w:val="DHHStabletext"/>
            </w:pPr>
            <w:r>
              <w:t>Phase 1</w:t>
            </w:r>
          </w:p>
        </w:tc>
        <w:tc>
          <w:tcPr>
            <w:tcW w:w="4702" w:type="dxa"/>
          </w:tcPr>
          <w:p w14:paraId="5B3B3431"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4ED34303"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16E8607D" w14:textId="77777777" w:rsidR="00B066B1" w:rsidRDefault="00B066B1" w:rsidP="004C1C7D">
            <w:pPr>
              <w:pStyle w:val="DHHStabletext"/>
            </w:pPr>
            <w:r>
              <w:t>Phase 2</w:t>
            </w:r>
          </w:p>
        </w:tc>
        <w:tc>
          <w:tcPr>
            <w:tcW w:w="4702" w:type="dxa"/>
          </w:tcPr>
          <w:p w14:paraId="6BCA66B6"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57E7925D"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19BE9D56" w14:textId="77777777" w:rsidR="00B066B1" w:rsidRDefault="00B066B1" w:rsidP="004C1C7D">
            <w:pPr>
              <w:pStyle w:val="DHHStabletext"/>
            </w:pPr>
            <w:r>
              <w:t>Remediation strategy</w:t>
            </w:r>
          </w:p>
        </w:tc>
        <w:tc>
          <w:tcPr>
            <w:tcW w:w="4702" w:type="dxa"/>
          </w:tcPr>
          <w:p w14:paraId="40A6BE84"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05E81516" w14:textId="47A698F5" w:rsidR="00B066B1" w:rsidRDefault="00B066B1" w:rsidP="00B066B1">
      <w:pPr>
        <w:pStyle w:val="Heading3"/>
      </w:pPr>
      <w:r>
        <w:t>Land planning assessment</w:t>
      </w:r>
    </w:p>
    <w:tbl>
      <w:tblPr>
        <w:tblStyle w:val="TableGrid"/>
        <w:tblW w:w="0" w:type="auto"/>
        <w:tblLook w:val="04A0" w:firstRow="1" w:lastRow="0" w:firstColumn="1" w:lastColumn="0" w:noHBand="0" w:noVBand="1"/>
      </w:tblPr>
      <w:tblGrid>
        <w:gridCol w:w="3330"/>
        <w:gridCol w:w="5850"/>
      </w:tblGrid>
      <w:tr w:rsidR="00B066B1" w:rsidRPr="003B10A0" w14:paraId="7E74506D"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37DAEA1" w14:textId="77777777" w:rsidR="00B066B1" w:rsidRPr="003B10A0" w:rsidRDefault="00B066B1" w:rsidP="004C1C7D">
            <w:pPr>
              <w:pStyle w:val="DHHStablecolhead"/>
            </w:pPr>
            <w:r w:rsidRPr="003B10A0">
              <w:t>Question</w:t>
            </w:r>
          </w:p>
        </w:tc>
        <w:tc>
          <w:tcPr>
            <w:tcW w:w="6004" w:type="dxa"/>
          </w:tcPr>
          <w:p w14:paraId="77A134D2"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2420BD1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F3E546A" w14:textId="77777777" w:rsidR="00B066B1" w:rsidRPr="003B10A0" w:rsidRDefault="00B066B1" w:rsidP="004C1C7D">
            <w:pPr>
              <w:pStyle w:val="DHHStabletext"/>
            </w:pPr>
            <w:r w:rsidRPr="003B10A0">
              <w:t>Required? (Yes or No)</w:t>
            </w:r>
          </w:p>
        </w:tc>
        <w:tc>
          <w:tcPr>
            <w:tcW w:w="6004" w:type="dxa"/>
          </w:tcPr>
          <w:p w14:paraId="2539593A"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202CD3D7" w14:textId="77777777" w:rsidR="00B066B1" w:rsidRDefault="00B066B1" w:rsidP="00B066B1">
      <w:pPr>
        <w:pStyle w:val="Heading3"/>
      </w:pPr>
      <w:r>
        <w:t>Town planning assessment</w:t>
      </w:r>
    </w:p>
    <w:tbl>
      <w:tblPr>
        <w:tblStyle w:val="TableGrid"/>
        <w:tblW w:w="0" w:type="auto"/>
        <w:tblLook w:val="04A0" w:firstRow="1" w:lastRow="0" w:firstColumn="1" w:lastColumn="0" w:noHBand="0" w:noVBand="1"/>
      </w:tblPr>
      <w:tblGrid>
        <w:gridCol w:w="3330"/>
        <w:gridCol w:w="5850"/>
      </w:tblGrid>
      <w:tr w:rsidR="00B066B1" w:rsidRPr="003B10A0" w14:paraId="4CCB1375"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C79A72" w14:textId="77777777" w:rsidR="00B066B1" w:rsidRPr="003B10A0" w:rsidRDefault="00B066B1" w:rsidP="004C1C7D">
            <w:pPr>
              <w:pStyle w:val="DHHStablecolhead"/>
            </w:pPr>
            <w:r w:rsidRPr="003B10A0">
              <w:t>Question</w:t>
            </w:r>
            <w:r>
              <w:t xml:space="preserve"> or action</w:t>
            </w:r>
          </w:p>
        </w:tc>
        <w:tc>
          <w:tcPr>
            <w:tcW w:w="6004" w:type="dxa"/>
          </w:tcPr>
          <w:p w14:paraId="6E7D0238"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498E4037"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5B645C0" w14:textId="77777777" w:rsidR="00B066B1" w:rsidRPr="003B10A0" w:rsidRDefault="00B066B1" w:rsidP="004C1C7D">
            <w:pPr>
              <w:pStyle w:val="DHHStabletext"/>
            </w:pPr>
            <w:r w:rsidRPr="003B10A0">
              <w:t>Required? (Yes or No)</w:t>
            </w:r>
          </w:p>
        </w:tc>
        <w:tc>
          <w:tcPr>
            <w:tcW w:w="6004" w:type="dxa"/>
          </w:tcPr>
          <w:p w14:paraId="5C9E8CD9"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439DF00A"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71426095" w14:textId="77777777" w:rsidR="00B066B1" w:rsidRPr="003B10A0" w:rsidRDefault="00B066B1" w:rsidP="004C1C7D">
            <w:pPr>
              <w:pStyle w:val="DHHStabletext"/>
            </w:pPr>
            <w:r>
              <w:t>Current zone</w:t>
            </w:r>
          </w:p>
        </w:tc>
        <w:tc>
          <w:tcPr>
            <w:tcW w:w="6004" w:type="dxa"/>
          </w:tcPr>
          <w:p w14:paraId="1A8035D5"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0D0A5EAE"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1D0E8A4C" w14:textId="366EEDB3" w:rsidR="00B066B1" w:rsidRPr="003B10A0" w:rsidRDefault="003A56B7" w:rsidP="004C1C7D">
            <w:pPr>
              <w:pStyle w:val="DHHStabletext"/>
            </w:pPr>
            <w:r>
              <w:t>Permit required?</w:t>
            </w:r>
          </w:p>
        </w:tc>
        <w:tc>
          <w:tcPr>
            <w:tcW w:w="6004" w:type="dxa"/>
          </w:tcPr>
          <w:p w14:paraId="51DC5735"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3668F5FF"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1DEE531" w14:textId="31F90918" w:rsidR="00B066B1" w:rsidRDefault="003A56B7" w:rsidP="004C1C7D">
            <w:pPr>
              <w:pStyle w:val="DHHStabletext"/>
            </w:pPr>
            <w:r>
              <w:t>Rezoning required?</w:t>
            </w:r>
          </w:p>
        </w:tc>
        <w:tc>
          <w:tcPr>
            <w:tcW w:w="6004" w:type="dxa"/>
          </w:tcPr>
          <w:p w14:paraId="3F0B7A8B"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763C315F"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73B206C2" w14:textId="0A22A258" w:rsidR="00B066B1" w:rsidRDefault="003A56B7" w:rsidP="004C1C7D">
            <w:pPr>
              <w:pStyle w:val="DHHStabletext"/>
            </w:pPr>
            <w:r>
              <w:t>Proposed zone</w:t>
            </w:r>
          </w:p>
        </w:tc>
        <w:tc>
          <w:tcPr>
            <w:tcW w:w="6004" w:type="dxa"/>
          </w:tcPr>
          <w:p w14:paraId="0FBA397D"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7E3EF5DB" w14:textId="77777777" w:rsidR="00B066B1" w:rsidRDefault="00B066B1" w:rsidP="00B066B1">
      <w:pPr>
        <w:pStyle w:val="Heading3"/>
      </w:pPr>
      <w:r>
        <w:t>Heritage assessment</w:t>
      </w:r>
    </w:p>
    <w:tbl>
      <w:tblPr>
        <w:tblStyle w:val="TableGrid"/>
        <w:tblW w:w="0" w:type="auto"/>
        <w:tblLook w:val="04A0" w:firstRow="1" w:lastRow="0" w:firstColumn="1" w:lastColumn="0" w:noHBand="0" w:noVBand="1"/>
      </w:tblPr>
      <w:tblGrid>
        <w:gridCol w:w="3884"/>
        <w:gridCol w:w="5296"/>
      </w:tblGrid>
      <w:tr w:rsidR="00B066B1" w:rsidRPr="003B10A0" w14:paraId="15651219"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506AC593" w14:textId="77777777" w:rsidR="00B066B1" w:rsidRPr="003B10A0" w:rsidRDefault="00B066B1" w:rsidP="004C1C7D">
            <w:pPr>
              <w:pStyle w:val="DHHStablecolhead"/>
            </w:pPr>
            <w:r w:rsidRPr="003B10A0">
              <w:t>Question</w:t>
            </w:r>
            <w:r>
              <w:t xml:space="preserve"> or action</w:t>
            </w:r>
          </w:p>
        </w:tc>
        <w:tc>
          <w:tcPr>
            <w:tcW w:w="5437" w:type="dxa"/>
          </w:tcPr>
          <w:p w14:paraId="2B2A6B59"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46E51F5E" w14:textId="77777777" w:rsidTr="004C1C7D">
        <w:tc>
          <w:tcPr>
            <w:cnfStyle w:val="001000000000" w:firstRow="0" w:lastRow="0" w:firstColumn="1" w:lastColumn="0" w:oddVBand="0" w:evenVBand="0" w:oddHBand="0" w:evenHBand="0" w:firstRowFirstColumn="0" w:firstRowLastColumn="0" w:lastRowFirstColumn="0" w:lastRowLastColumn="0"/>
            <w:tcW w:w="3969" w:type="dxa"/>
          </w:tcPr>
          <w:p w14:paraId="6173F79C" w14:textId="77777777" w:rsidR="00B066B1" w:rsidRPr="003B10A0" w:rsidRDefault="00B066B1" w:rsidP="004C1C7D">
            <w:pPr>
              <w:pStyle w:val="DHHStabletext"/>
            </w:pPr>
            <w:r w:rsidRPr="003B10A0">
              <w:t>Required? (Yes or No)</w:t>
            </w:r>
          </w:p>
        </w:tc>
        <w:tc>
          <w:tcPr>
            <w:tcW w:w="5437" w:type="dxa"/>
          </w:tcPr>
          <w:p w14:paraId="38EF1428"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110A8992" w14:textId="77777777" w:rsidTr="004C1C7D">
        <w:tc>
          <w:tcPr>
            <w:cnfStyle w:val="001000000000" w:firstRow="0" w:lastRow="0" w:firstColumn="1" w:lastColumn="0" w:oddVBand="0" w:evenVBand="0" w:oddHBand="0" w:evenHBand="0" w:firstRowFirstColumn="0" w:firstRowLastColumn="0" w:lastRowFirstColumn="0" w:lastRowLastColumn="0"/>
            <w:tcW w:w="3969" w:type="dxa"/>
          </w:tcPr>
          <w:p w14:paraId="5EF13502" w14:textId="77777777" w:rsidR="00B066B1" w:rsidRPr="003B10A0" w:rsidRDefault="00B066B1" w:rsidP="004C1C7D">
            <w:pPr>
              <w:pStyle w:val="DHHStabletext"/>
            </w:pPr>
            <w:r>
              <w:t>Listed on Victorian Heritage Register?</w:t>
            </w:r>
          </w:p>
        </w:tc>
        <w:tc>
          <w:tcPr>
            <w:tcW w:w="5437" w:type="dxa"/>
          </w:tcPr>
          <w:p w14:paraId="668B8217"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6BD903B3" w14:textId="77777777" w:rsidTr="004C1C7D">
        <w:tc>
          <w:tcPr>
            <w:cnfStyle w:val="001000000000" w:firstRow="0" w:lastRow="0" w:firstColumn="1" w:lastColumn="0" w:oddVBand="0" w:evenVBand="0" w:oddHBand="0" w:evenHBand="0" w:firstRowFirstColumn="0" w:firstRowLastColumn="0" w:lastRowFirstColumn="0" w:lastRowLastColumn="0"/>
            <w:tcW w:w="3969" w:type="dxa"/>
          </w:tcPr>
          <w:p w14:paraId="5C4C5804" w14:textId="77777777" w:rsidR="00B066B1" w:rsidRPr="003B10A0" w:rsidRDefault="00B066B1" w:rsidP="004C1C7D">
            <w:pPr>
              <w:pStyle w:val="DHHStabletext"/>
            </w:pPr>
            <w:r>
              <w:t>Local heritage overlay</w:t>
            </w:r>
          </w:p>
        </w:tc>
        <w:tc>
          <w:tcPr>
            <w:tcW w:w="5437" w:type="dxa"/>
          </w:tcPr>
          <w:p w14:paraId="77D97135"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03CBD3EB" w14:textId="77777777" w:rsidTr="004C1C7D">
        <w:tc>
          <w:tcPr>
            <w:cnfStyle w:val="001000000000" w:firstRow="0" w:lastRow="0" w:firstColumn="1" w:lastColumn="0" w:oddVBand="0" w:evenVBand="0" w:oddHBand="0" w:evenHBand="0" w:firstRowFirstColumn="0" w:firstRowLastColumn="0" w:lastRowFirstColumn="0" w:lastRowLastColumn="0"/>
            <w:tcW w:w="3969" w:type="dxa"/>
          </w:tcPr>
          <w:p w14:paraId="7F6FD732" w14:textId="77777777" w:rsidR="00B066B1" w:rsidRDefault="00B066B1" w:rsidP="004C1C7D">
            <w:pPr>
              <w:pStyle w:val="DHHStabletext"/>
            </w:pPr>
            <w:r>
              <w:t>Conservation management plan required?</w:t>
            </w:r>
          </w:p>
        </w:tc>
        <w:tc>
          <w:tcPr>
            <w:tcW w:w="5437" w:type="dxa"/>
          </w:tcPr>
          <w:p w14:paraId="009F8C09"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91C83CA" w14:textId="77777777" w:rsidTr="004C1C7D">
        <w:tc>
          <w:tcPr>
            <w:cnfStyle w:val="001000000000" w:firstRow="0" w:lastRow="0" w:firstColumn="1" w:lastColumn="0" w:oddVBand="0" w:evenVBand="0" w:oddHBand="0" w:evenHBand="0" w:firstRowFirstColumn="0" w:firstRowLastColumn="0" w:lastRowFirstColumn="0" w:lastRowLastColumn="0"/>
            <w:tcW w:w="3969" w:type="dxa"/>
          </w:tcPr>
          <w:p w14:paraId="2F12B262" w14:textId="76B2659F" w:rsidR="003A56B7" w:rsidRDefault="003A56B7" w:rsidP="004C1C7D">
            <w:pPr>
              <w:pStyle w:val="DHHStabletext"/>
            </w:pPr>
            <w:r>
              <w:t>Cultural heritage plan required?</w:t>
            </w:r>
          </w:p>
        </w:tc>
        <w:tc>
          <w:tcPr>
            <w:tcW w:w="5437" w:type="dxa"/>
          </w:tcPr>
          <w:p w14:paraId="7B52232E"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F9EFBA6" w14:textId="5211FEBE" w:rsidR="003A56B7" w:rsidRDefault="003A56B7" w:rsidP="003A56B7">
      <w:pPr>
        <w:pStyle w:val="Heading3"/>
      </w:pPr>
      <w:r>
        <w:t>Pest inspection</w:t>
      </w:r>
    </w:p>
    <w:tbl>
      <w:tblPr>
        <w:tblStyle w:val="TableGrid"/>
        <w:tblW w:w="0" w:type="auto"/>
        <w:tblLook w:val="04A0" w:firstRow="1" w:lastRow="0" w:firstColumn="1" w:lastColumn="0" w:noHBand="0" w:noVBand="1"/>
      </w:tblPr>
      <w:tblGrid>
        <w:gridCol w:w="4590"/>
        <w:gridCol w:w="4590"/>
      </w:tblGrid>
      <w:tr w:rsidR="003A56B7" w:rsidRPr="003B10A0" w14:paraId="737B9B84"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4" w:type="dxa"/>
          </w:tcPr>
          <w:p w14:paraId="41290BB0" w14:textId="77777777" w:rsidR="003A56B7" w:rsidRPr="003B10A0" w:rsidRDefault="003A56B7" w:rsidP="004C1C7D">
            <w:pPr>
              <w:pStyle w:val="DHHStablecolhead"/>
            </w:pPr>
            <w:r w:rsidRPr="003B10A0">
              <w:t>Question</w:t>
            </w:r>
            <w:r>
              <w:t xml:space="preserve"> or action</w:t>
            </w:r>
          </w:p>
        </w:tc>
        <w:tc>
          <w:tcPr>
            <w:tcW w:w="4702" w:type="dxa"/>
          </w:tcPr>
          <w:p w14:paraId="5EB2267E"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77C253FF" w14:textId="77777777" w:rsidTr="004C1C7D">
        <w:tc>
          <w:tcPr>
            <w:cnfStyle w:val="001000000000" w:firstRow="0" w:lastRow="0" w:firstColumn="1" w:lastColumn="0" w:oddVBand="0" w:evenVBand="0" w:oddHBand="0" w:evenHBand="0" w:firstRowFirstColumn="0" w:firstRowLastColumn="0" w:lastRowFirstColumn="0" w:lastRowLastColumn="0"/>
            <w:tcW w:w="4704" w:type="dxa"/>
          </w:tcPr>
          <w:p w14:paraId="680A1ECC" w14:textId="77777777" w:rsidR="003A56B7" w:rsidRPr="003B10A0" w:rsidRDefault="003A56B7" w:rsidP="004C1C7D">
            <w:pPr>
              <w:pStyle w:val="DHHStabletext"/>
            </w:pPr>
            <w:r w:rsidRPr="003B10A0">
              <w:t>Required? (Yes or No)</w:t>
            </w:r>
          </w:p>
        </w:tc>
        <w:tc>
          <w:tcPr>
            <w:tcW w:w="4702" w:type="dxa"/>
          </w:tcPr>
          <w:p w14:paraId="674C5E16"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D8D9D03" w14:textId="77777777" w:rsidR="00B066B1" w:rsidRDefault="00B066B1" w:rsidP="00B066B1">
      <w:pPr>
        <w:pStyle w:val="Heading3"/>
      </w:pPr>
      <w:r>
        <w:t>Demolition</w:t>
      </w:r>
    </w:p>
    <w:tbl>
      <w:tblPr>
        <w:tblStyle w:val="TableGrid"/>
        <w:tblW w:w="0" w:type="auto"/>
        <w:tblLook w:val="04A0" w:firstRow="1" w:lastRow="0" w:firstColumn="1" w:lastColumn="0" w:noHBand="0" w:noVBand="1"/>
      </w:tblPr>
      <w:tblGrid>
        <w:gridCol w:w="3331"/>
        <w:gridCol w:w="5849"/>
      </w:tblGrid>
      <w:tr w:rsidR="00B066B1" w:rsidRPr="003B10A0" w14:paraId="097D489D"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CCD5BBA" w14:textId="77777777" w:rsidR="00B066B1" w:rsidRPr="003B10A0" w:rsidRDefault="00B066B1" w:rsidP="004C1C7D">
            <w:pPr>
              <w:pStyle w:val="DHHStablecolhead"/>
            </w:pPr>
            <w:r w:rsidRPr="003B10A0">
              <w:t>Question</w:t>
            </w:r>
            <w:r>
              <w:t xml:space="preserve"> or action</w:t>
            </w:r>
          </w:p>
        </w:tc>
        <w:tc>
          <w:tcPr>
            <w:tcW w:w="6004" w:type="dxa"/>
          </w:tcPr>
          <w:p w14:paraId="6D44F524"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8E249F" w:rsidRPr="003B10A0" w14:paraId="7F1AD499"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6575D1E" w14:textId="77777777" w:rsidR="00B066B1" w:rsidRPr="003B10A0" w:rsidRDefault="00B066B1" w:rsidP="004C1C7D">
            <w:pPr>
              <w:pStyle w:val="DHHStabletext"/>
            </w:pPr>
            <w:r w:rsidRPr="003B10A0">
              <w:t>Required? (Yes or No)</w:t>
            </w:r>
          </w:p>
        </w:tc>
        <w:tc>
          <w:tcPr>
            <w:tcW w:w="6004" w:type="dxa"/>
          </w:tcPr>
          <w:p w14:paraId="009C1694"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8E249F" w:rsidRPr="003B10A0" w14:paraId="659C371A"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35AF190" w14:textId="77777777" w:rsidR="00B066B1" w:rsidRPr="003B10A0" w:rsidRDefault="00B066B1" w:rsidP="004C1C7D">
            <w:pPr>
              <w:pStyle w:val="DHHStabletext"/>
            </w:pPr>
            <w:r>
              <w:t>Consultant</w:t>
            </w:r>
          </w:p>
        </w:tc>
        <w:tc>
          <w:tcPr>
            <w:tcW w:w="6004" w:type="dxa"/>
          </w:tcPr>
          <w:p w14:paraId="12F1E99F"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8E249F" w:rsidRPr="003B10A0" w14:paraId="054A2E3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4FABF15" w14:textId="77777777" w:rsidR="00B066B1" w:rsidRPr="003B10A0" w:rsidRDefault="00B066B1" w:rsidP="004C1C7D">
            <w:pPr>
              <w:pStyle w:val="DHHStabletext"/>
            </w:pPr>
            <w:r>
              <w:t>Cost</w:t>
            </w:r>
          </w:p>
        </w:tc>
        <w:tc>
          <w:tcPr>
            <w:tcW w:w="6004" w:type="dxa"/>
          </w:tcPr>
          <w:p w14:paraId="12814BEB"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4A76C099"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9DAF402" w14:textId="77777777" w:rsidR="00B066B1" w:rsidRDefault="00B066B1" w:rsidP="004C1C7D">
            <w:pPr>
              <w:pStyle w:val="DHHStabletext"/>
            </w:pPr>
            <w:r>
              <w:lastRenderedPageBreak/>
              <w:t>Date of completion</w:t>
            </w:r>
          </w:p>
        </w:tc>
        <w:tc>
          <w:tcPr>
            <w:tcW w:w="6004" w:type="dxa"/>
          </w:tcPr>
          <w:p w14:paraId="2FCF9AEA"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48C79342" w14:textId="77777777" w:rsidR="00B066B1" w:rsidRDefault="00B066B1" w:rsidP="00B066B1">
      <w:pPr>
        <w:pStyle w:val="Heading3"/>
      </w:pPr>
      <w:r>
        <w:t>Lease or licence</w:t>
      </w:r>
    </w:p>
    <w:tbl>
      <w:tblPr>
        <w:tblStyle w:val="TableGrid"/>
        <w:tblW w:w="0" w:type="auto"/>
        <w:tblLook w:val="04A0" w:firstRow="1" w:lastRow="0" w:firstColumn="1" w:lastColumn="0" w:noHBand="0" w:noVBand="1"/>
      </w:tblPr>
      <w:tblGrid>
        <w:gridCol w:w="3330"/>
        <w:gridCol w:w="5850"/>
      </w:tblGrid>
      <w:tr w:rsidR="00B066B1" w:rsidRPr="003B10A0" w14:paraId="5AFCC0BF"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B693779" w14:textId="77777777" w:rsidR="00B066B1" w:rsidRPr="003B10A0" w:rsidRDefault="00B066B1" w:rsidP="004C1C7D">
            <w:pPr>
              <w:pStyle w:val="DHHStablecolhead"/>
            </w:pPr>
            <w:r w:rsidRPr="003B10A0">
              <w:t>Question</w:t>
            </w:r>
          </w:p>
        </w:tc>
        <w:tc>
          <w:tcPr>
            <w:tcW w:w="6004" w:type="dxa"/>
          </w:tcPr>
          <w:p w14:paraId="7E81F764"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8E249F" w:rsidRPr="003B10A0" w14:paraId="23CE6DF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D7B3E53" w14:textId="77777777" w:rsidR="00B066B1" w:rsidRPr="003B10A0" w:rsidRDefault="00B066B1" w:rsidP="004C1C7D">
            <w:pPr>
              <w:pStyle w:val="DHHStabletext"/>
            </w:pPr>
            <w:r w:rsidRPr="003B10A0">
              <w:t>Required? (Yes or No)</w:t>
            </w:r>
          </w:p>
        </w:tc>
        <w:tc>
          <w:tcPr>
            <w:tcW w:w="6004" w:type="dxa"/>
          </w:tcPr>
          <w:p w14:paraId="6C12AEF2"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8E249F" w:rsidRPr="003B10A0" w14:paraId="3F52B73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15DF799" w14:textId="77777777" w:rsidR="00B066B1" w:rsidRPr="003B10A0" w:rsidRDefault="00B066B1" w:rsidP="004C1C7D">
            <w:pPr>
              <w:pStyle w:val="DHHStabletext"/>
            </w:pPr>
            <w:r>
              <w:t>Lease type</w:t>
            </w:r>
          </w:p>
        </w:tc>
        <w:tc>
          <w:tcPr>
            <w:tcW w:w="6004" w:type="dxa"/>
          </w:tcPr>
          <w:p w14:paraId="4CF07203"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8E249F" w:rsidRPr="003B10A0" w14:paraId="2D0FFF10"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34C199D" w14:textId="77777777" w:rsidR="00B066B1" w:rsidRPr="003B10A0" w:rsidRDefault="00B066B1" w:rsidP="004C1C7D">
            <w:pPr>
              <w:pStyle w:val="DHHStabletext"/>
            </w:pPr>
            <w:r>
              <w:t>Term</w:t>
            </w:r>
          </w:p>
        </w:tc>
        <w:tc>
          <w:tcPr>
            <w:tcW w:w="6004" w:type="dxa"/>
          </w:tcPr>
          <w:p w14:paraId="797F8B4D"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2D81461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9B8C67A" w14:textId="77777777" w:rsidR="00B066B1" w:rsidRDefault="00B066B1" w:rsidP="004C1C7D">
            <w:pPr>
              <w:pStyle w:val="DHHStabletext"/>
            </w:pPr>
            <w:r>
              <w:t>Date cancelled</w:t>
            </w:r>
          </w:p>
        </w:tc>
        <w:tc>
          <w:tcPr>
            <w:tcW w:w="6004" w:type="dxa"/>
          </w:tcPr>
          <w:p w14:paraId="20A322F8"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536B549F" w14:textId="77777777" w:rsidR="00B066B1" w:rsidRDefault="00B066B1" w:rsidP="00B066B1">
      <w:pPr>
        <w:pStyle w:val="Heading3"/>
      </w:pPr>
      <w:r>
        <w:t>Other due diligence</w:t>
      </w:r>
    </w:p>
    <w:tbl>
      <w:tblPr>
        <w:tblStyle w:val="TableGrid"/>
        <w:tblW w:w="0" w:type="auto"/>
        <w:tblLook w:val="04A0" w:firstRow="1" w:lastRow="0" w:firstColumn="1" w:lastColumn="0" w:noHBand="0" w:noVBand="1"/>
      </w:tblPr>
      <w:tblGrid>
        <w:gridCol w:w="3330"/>
        <w:gridCol w:w="5850"/>
      </w:tblGrid>
      <w:tr w:rsidR="00B066B1" w:rsidRPr="003B10A0" w14:paraId="3551A07B"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79A374B" w14:textId="77777777" w:rsidR="00B066B1" w:rsidRPr="003B10A0" w:rsidRDefault="00B066B1" w:rsidP="004C1C7D">
            <w:pPr>
              <w:pStyle w:val="DHHStablecolhead"/>
            </w:pPr>
            <w:r w:rsidRPr="003B10A0">
              <w:t>Question</w:t>
            </w:r>
          </w:p>
        </w:tc>
        <w:tc>
          <w:tcPr>
            <w:tcW w:w="6004" w:type="dxa"/>
          </w:tcPr>
          <w:p w14:paraId="524828CA" w14:textId="77777777" w:rsidR="00B066B1" w:rsidRPr="003B10A0" w:rsidRDefault="00B066B1"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B066B1" w:rsidRPr="003B10A0" w14:paraId="0290D578"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17865305" w14:textId="77777777" w:rsidR="00B066B1" w:rsidRPr="003B10A0" w:rsidRDefault="00B066B1" w:rsidP="004C1C7D">
            <w:pPr>
              <w:pStyle w:val="DHHStabletext"/>
            </w:pPr>
            <w:r w:rsidRPr="003B10A0">
              <w:t>Required? (Yes or No)</w:t>
            </w:r>
          </w:p>
        </w:tc>
        <w:tc>
          <w:tcPr>
            <w:tcW w:w="6004" w:type="dxa"/>
          </w:tcPr>
          <w:p w14:paraId="172BB379"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B066B1" w:rsidRPr="003B10A0" w14:paraId="3FFC35E8"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95A0C07" w14:textId="77777777" w:rsidR="00B066B1" w:rsidRPr="003B10A0" w:rsidRDefault="00B066B1" w:rsidP="004C1C7D">
            <w:pPr>
              <w:pStyle w:val="DHHStabletext"/>
            </w:pPr>
            <w:r>
              <w:t>Details</w:t>
            </w:r>
          </w:p>
        </w:tc>
        <w:tc>
          <w:tcPr>
            <w:tcW w:w="6004" w:type="dxa"/>
          </w:tcPr>
          <w:p w14:paraId="5E8C1B32" w14:textId="77777777" w:rsidR="00B066B1" w:rsidRPr="003B10A0" w:rsidRDefault="00B066B1"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569CB81" w14:textId="60389533" w:rsidR="005E7112" w:rsidRPr="005D0849" w:rsidRDefault="005E7112" w:rsidP="00577484">
      <w:pPr>
        <w:pStyle w:val="AppendixHeading2"/>
      </w:pPr>
      <w:r w:rsidRPr="005D0849">
        <w:t xml:space="preserve">Government </w:t>
      </w:r>
      <w:r w:rsidR="003A56B7">
        <w:t>r</w:t>
      </w:r>
      <w:r w:rsidRPr="005D0849">
        <w:t>equirements</w:t>
      </w:r>
    </w:p>
    <w:p w14:paraId="29EA963C" w14:textId="77777777" w:rsidR="003A56B7" w:rsidRDefault="003A56B7" w:rsidP="003A56B7">
      <w:pPr>
        <w:pStyle w:val="Heading3"/>
      </w:pPr>
      <w:r>
        <w:t>Approval or authority</w:t>
      </w:r>
    </w:p>
    <w:tbl>
      <w:tblPr>
        <w:tblStyle w:val="TableGrid"/>
        <w:tblW w:w="0" w:type="auto"/>
        <w:tblLook w:val="04A0" w:firstRow="1" w:lastRow="0" w:firstColumn="1" w:lastColumn="0" w:noHBand="0" w:noVBand="1"/>
      </w:tblPr>
      <w:tblGrid>
        <w:gridCol w:w="3331"/>
        <w:gridCol w:w="5849"/>
      </w:tblGrid>
      <w:tr w:rsidR="003A56B7" w:rsidRPr="003B10A0" w14:paraId="0306941D"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7924454" w14:textId="77777777" w:rsidR="003A56B7" w:rsidRPr="003B10A0" w:rsidRDefault="003A56B7" w:rsidP="004C1C7D">
            <w:pPr>
              <w:pStyle w:val="DHHStablecolhead"/>
            </w:pPr>
            <w:r w:rsidRPr="003B10A0">
              <w:t>Question</w:t>
            </w:r>
          </w:p>
        </w:tc>
        <w:tc>
          <w:tcPr>
            <w:tcW w:w="6004" w:type="dxa"/>
          </w:tcPr>
          <w:p w14:paraId="31541DC3"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3A3CA886"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E6CE0F2" w14:textId="77777777" w:rsidR="003A56B7" w:rsidRPr="003B10A0" w:rsidRDefault="003A56B7" w:rsidP="004C1C7D">
            <w:pPr>
              <w:pStyle w:val="DHHStabletext"/>
            </w:pPr>
            <w:r w:rsidRPr="003B10A0">
              <w:t>Required? (Yes or No)</w:t>
            </w:r>
          </w:p>
        </w:tc>
        <w:tc>
          <w:tcPr>
            <w:tcW w:w="6004" w:type="dxa"/>
          </w:tcPr>
          <w:p w14:paraId="21FE778A"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44AFFAE3"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419E9C8" w14:textId="77777777" w:rsidR="003A56B7" w:rsidRPr="003B10A0" w:rsidRDefault="003A56B7" w:rsidP="004C1C7D">
            <w:pPr>
              <w:pStyle w:val="DHHStabletext"/>
            </w:pPr>
            <w:r w:rsidRPr="003B10A0">
              <w:t>Ministerial, Secretary or Board?</w:t>
            </w:r>
          </w:p>
        </w:tc>
        <w:tc>
          <w:tcPr>
            <w:tcW w:w="6004" w:type="dxa"/>
          </w:tcPr>
          <w:p w14:paraId="312A73FA"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39EC6C0A"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E38B1BB" w14:textId="77777777" w:rsidR="003A56B7" w:rsidRPr="003B10A0" w:rsidRDefault="003A56B7" w:rsidP="004C1C7D">
            <w:pPr>
              <w:pStyle w:val="DHHStabletext"/>
            </w:pPr>
            <w:r w:rsidRPr="003B10A0">
              <w:t>Date of approval</w:t>
            </w:r>
          </w:p>
        </w:tc>
        <w:tc>
          <w:tcPr>
            <w:tcW w:w="6004" w:type="dxa"/>
          </w:tcPr>
          <w:p w14:paraId="50070F8D"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DF990FA" w14:textId="77777777" w:rsidR="003A56B7" w:rsidRDefault="003A56B7" w:rsidP="003A56B7">
      <w:pPr>
        <w:pStyle w:val="Heading3"/>
      </w:pPr>
      <w:r>
        <w:t>Valuation</w:t>
      </w:r>
    </w:p>
    <w:tbl>
      <w:tblPr>
        <w:tblStyle w:val="TableGrid"/>
        <w:tblW w:w="0" w:type="auto"/>
        <w:tblLook w:val="04A0" w:firstRow="1" w:lastRow="0" w:firstColumn="1" w:lastColumn="0" w:noHBand="0" w:noVBand="1"/>
      </w:tblPr>
      <w:tblGrid>
        <w:gridCol w:w="3330"/>
        <w:gridCol w:w="5850"/>
      </w:tblGrid>
      <w:tr w:rsidR="003A56B7" w:rsidRPr="003B10A0" w14:paraId="21ABE2CD"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A3B9C64" w14:textId="77777777" w:rsidR="003A56B7" w:rsidRPr="003B10A0" w:rsidRDefault="003A56B7" w:rsidP="004C1C7D">
            <w:pPr>
              <w:pStyle w:val="DHHStablecolhead"/>
            </w:pPr>
            <w:r w:rsidRPr="003B10A0">
              <w:t>Question</w:t>
            </w:r>
          </w:p>
        </w:tc>
        <w:tc>
          <w:tcPr>
            <w:tcW w:w="6004" w:type="dxa"/>
          </w:tcPr>
          <w:p w14:paraId="4BEB6C70"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3DA4E7CC"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A288B58" w14:textId="77777777" w:rsidR="003A56B7" w:rsidRPr="003B10A0" w:rsidRDefault="003A56B7" w:rsidP="004C1C7D">
            <w:pPr>
              <w:pStyle w:val="DHHStabletext"/>
            </w:pPr>
            <w:r w:rsidRPr="003B10A0">
              <w:t>Required? (Yes or No)</w:t>
            </w:r>
          </w:p>
        </w:tc>
        <w:tc>
          <w:tcPr>
            <w:tcW w:w="6004" w:type="dxa"/>
          </w:tcPr>
          <w:p w14:paraId="607683A3"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322B3C4F"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7A5D3FF1" w14:textId="77777777" w:rsidR="003A56B7" w:rsidRPr="003B10A0" w:rsidRDefault="003A56B7" w:rsidP="004C1C7D">
            <w:pPr>
              <w:pStyle w:val="DHHStabletext"/>
            </w:pPr>
            <w:r>
              <w:t>Valuer</w:t>
            </w:r>
          </w:p>
        </w:tc>
        <w:tc>
          <w:tcPr>
            <w:tcW w:w="6004" w:type="dxa"/>
          </w:tcPr>
          <w:p w14:paraId="666B01A6"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2E73FBE5"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FB577F8" w14:textId="77777777" w:rsidR="003A56B7" w:rsidRPr="003B10A0" w:rsidRDefault="003A56B7" w:rsidP="004C1C7D">
            <w:pPr>
              <w:pStyle w:val="DHHStabletext"/>
            </w:pPr>
            <w:r w:rsidRPr="003B10A0">
              <w:t xml:space="preserve">Date of </w:t>
            </w:r>
            <w:r>
              <w:t>valuation</w:t>
            </w:r>
          </w:p>
        </w:tc>
        <w:tc>
          <w:tcPr>
            <w:tcW w:w="6004" w:type="dxa"/>
          </w:tcPr>
          <w:p w14:paraId="2FC833B2"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0F43A779"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2935DEE" w14:textId="77777777" w:rsidR="003A56B7" w:rsidRPr="003B10A0" w:rsidRDefault="003A56B7" w:rsidP="004C1C7D">
            <w:pPr>
              <w:pStyle w:val="DHHStabletext"/>
            </w:pPr>
            <w:r>
              <w:t>Valuation amount</w:t>
            </w:r>
          </w:p>
        </w:tc>
        <w:tc>
          <w:tcPr>
            <w:tcW w:w="6004" w:type="dxa"/>
          </w:tcPr>
          <w:p w14:paraId="5A872FDA"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17C884D" w14:textId="77777777" w:rsidR="003A56B7" w:rsidRDefault="003A56B7" w:rsidP="003A56B7">
      <w:pPr>
        <w:pStyle w:val="Heading3"/>
      </w:pPr>
      <w:r>
        <w:t>Check valuation – required above $750,000</w:t>
      </w:r>
    </w:p>
    <w:tbl>
      <w:tblPr>
        <w:tblStyle w:val="TableGrid"/>
        <w:tblW w:w="0" w:type="auto"/>
        <w:tblLook w:val="04A0" w:firstRow="1" w:lastRow="0" w:firstColumn="1" w:lastColumn="0" w:noHBand="0" w:noVBand="1"/>
      </w:tblPr>
      <w:tblGrid>
        <w:gridCol w:w="3330"/>
        <w:gridCol w:w="5850"/>
      </w:tblGrid>
      <w:tr w:rsidR="003A56B7" w:rsidRPr="003B10A0" w14:paraId="7BBC5B0E"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185C66C" w14:textId="77777777" w:rsidR="003A56B7" w:rsidRPr="003B10A0" w:rsidRDefault="003A56B7" w:rsidP="004C1C7D">
            <w:pPr>
              <w:pStyle w:val="DHHStablecolhead"/>
            </w:pPr>
            <w:r w:rsidRPr="003B10A0">
              <w:t>Question</w:t>
            </w:r>
          </w:p>
        </w:tc>
        <w:tc>
          <w:tcPr>
            <w:tcW w:w="6004" w:type="dxa"/>
          </w:tcPr>
          <w:p w14:paraId="5419C58B"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5283934D"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3FE2811" w14:textId="77777777" w:rsidR="003A56B7" w:rsidRPr="003B10A0" w:rsidRDefault="003A56B7" w:rsidP="004C1C7D">
            <w:pPr>
              <w:pStyle w:val="DHHStabletext"/>
            </w:pPr>
            <w:r w:rsidRPr="003B10A0">
              <w:t>Required? (Yes or No)</w:t>
            </w:r>
          </w:p>
        </w:tc>
        <w:tc>
          <w:tcPr>
            <w:tcW w:w="6004" w:type="dxa"/>
          </w:tcPr>
          <w:p w14:paraId="4853D0F1"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0856D0CC"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1CB6E471" w14:textId="77777777" w:rsidR="003A56B7" w:rsidRPr="003B10A0" w:rsidRDefault="003A56B7" w:rsidP="004C1C7D">
            <w:pPr>
              <w:pStyle w:val="DHHStabletext"/>
            </w:pPr>
            <w:r>
              <w:t>Valuer</w:t>
            </w:r>
          </w:p>
        </w:tc>
        <w:tc>
          <w:tcPr>
            <w:tcW w:w="6004" w:type="dxa"/>
          </w:tcPr>
          <w:p w14:paraId="2F667302"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183D993"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594D703" w14:textId="77777777" w:rsidR="003A56B7" w:rsidRPr="003B10A0" w:rsidRDefault="003A56B7" w:rsidP="004C1C7D">
            <w:pPr>
              <w:pStyle w:val="DHHStabletext"/>
            </w:pPr>
            <w:r w:rsidRPr="003B10A0">
              <w:t xml:space="preserve">Date of </w:t>
            </w:r>
            <w:r>
              <w:t>valuation</w:t>
            </w:r>
          </w:p>
        </w:tc>
        <w:tc>
          <w:tcPr>
            <w:tcW w:w="6004" w:type="dxa"/>
          </w:tcPr>
          <w:p w14:paraId="3A094AB5"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768AD017"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A3E8B63" w14:textId="77777777" w:rsidR="003A56B7" w:rsidRPr="003B10A0" w:rsidRDefault="003A56B7" w:rsidP="004C1C7D">
            <w:pPr>
              <w:pStyle w:val="DHHStabletext"/>
            </w:pPr>
            <w:r>
              <w:t>Valuation amount</w:t>
            </w:r>
          </w:p>
        </w:tc>
        <w:tc>
          <w:tcPr>
            <w:tcW w:w="6004" w:type="dxa"/>
          </w:tcPr>
          <w:p w14:paraId="1C76042C"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465E06D4" w14:textId="77777777" w:rsidR="003A56B7" w:rsidRDefault="003A56B7" w:rsidP="003A56B7">
      <w:pPr>
        <w:pStyle w:val="Heading3"/>
      </w:pPr>
      <w:r>
        <w:lastRenderedPageBreak/>
        <w:t>Government Land Monitor – required above $750,000</w:t>
      </w:r>
    </w:p>
    <w:tbl>
      <w:tblPr>
        <w:tblStyle w:val="TableGrid"/>
        <w:tblW w:w="0" w:type="auto"/>
        <w:tblLook w:val="04A0" w:firstRow="1" w:lastRow="0" w:firstColumn="1" w:lastColumn="0" w:noHBand="0" w:noVBand="1"/>
      </w:tblPr>
      <w:tblGrid>
        <w:gridCol w:w="3335"/>
        <w:gridCol w:w="5845"/>
      </w:tblGrid>
      <w:tr w:rsidR="003A56B7" w:rsidRPr="003B10A0" w14:paraId="33DDDBF4"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038D240" w14:textId="77777777" w:rsidR="003A56B7" w:rsidRPr="003B10A0" w:rsidRDefault="003A56B7" w:rsidP="004C1C7D">
            <w:pPr>
              <w:pStyle w:val="DHHStablecolhead"/>
            </w:pPr>
            <w:r w:rsidRPr="003B10A0">
              <w:t>Question</w:t>
            </w:r>
          </w:p>
        </w:tc>
        <w:tc>
          <w:tcPr>
            <w:tcW w:w="6004" w:type="dxa"/>
          </w:tcPr>
          <w:p w14:paraId="3EE6B5EB"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1CFF4104"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14BE27A" w14:textId="77777777" w:rsidR="003A56B7" w:rsidRPr="003B10A0" w:rsidRDefault="003A56B7" w:rsidP="004C1C7D">
            <w:pPr>
              <w:pStyle w:val="DHHStabletext"/>
            </w:pPr>
            <w:r w:rsidRPr="003B10A0">
              <w:t>Required? (Yes or No)</w:t>
            </w:r>
          </w:p>
        </w:tc>
        <w:tc>
          <w:tcPr>
            <w:tcW w:w="6004" w:type="dxa"/>
          </w:tcPr>
          <w:p w14:paraId="373C3D0F"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35E00399"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76E04C2" w14:textId="77777777" w:rsidR="003A56B7" w:rsidRPr="003B10A0" w:rsidRDefault="003A56B7" w:rsidP="004C1C7D">
            <w:pPr>
              <w:pStyle w:val="DHHStabletext"/>
            </w:pPr>
            <w:r>
              <w:t>Date file submitted for endorsement</w:t>
            </w:r>
          </w:p>
        </w:tc>
        <w:tc>
          <w:tcPr>
            <w:tcW w:w="6004" w:type="dxa"/>
          </w:tcPr>
          <w:p w14:paraId="22B932D6"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22ADDEEC"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DF6E5D6" w14:textId="77777777" w:rsidR="003A56B7" w:rsidRPr="003B10A0" w:rsidRDefault="003A56B7" w:rsidP="004C1C7D">
            <w:pPr>
              <w:pStyle w:val="DHHStabletext"/>
            </w:pPr>
            <w:r w:rsidRPr="003B10A0">
              <w:t>Date of approval</w:t>
            </w:r>
          </w:p>
        </w:tc>
        <w:tc>
          <w:tcPr>
            <w:tcW w:w="6004" w:type="dxa"/>
          </w:tcPr>
          <w:p w14:paraId="33DC3A1B"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034DD7A8" w14:textId="77777777" w:rsidR="003A56B7" w:rsidRDefault="003A56B7" w:rsidP="003A56B7">
      <w:pPr>
        <w:pStyle w:val="Heading3"/>
      </w:pPr>
      <w:r>
        <w:t>Contract publishing system</w:t>
      </w:r>
    </w:p>
    <w:p w14:paraId="5C570C4A" w14:textId="77777777" w:rsidR="003A56B7" w:rsidRPr="000724AC" w:rsidRDefault="003A56B7" w:rsidP="003A56B7">
      <w:pPr>
        <w:pStyle w:val="DHHSbody"/>
      </w:pPr>
      <w:r>
        <w:t>Contracts above $100,000; full disclosure of contracts above $10 million.</w:t>
      </w:r>
    </w:p>
    <w:tbl>
      <w:tblPr>
        <w:tblStyle w:val="TableGrid"/>
        <w:tblW w:w="0" w:type="auto"/>
        <w:tblLook w:val="04A0" w:firstRow="1" w:lastRow="0" w:firstColumn="1" w:lastColumn="0" w:noHBand="0" w:noVBand="1"/>
      </w:tblPr>
      <w:tblGrid>
        <w:gridCol w:w="3333"/>
        <w:gridCol w:w="5847"/>
      </w:tblGrid>
      <w:tr w:rsidR="003A56B7" w:rsidRPr="003B10A0" w14:paraId="62BC5ADB"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27F5EEF" w14:textId="77777777" w:rsidR="003A56B7" w:rsidRPr="003B10A0" w:rsidRDefault="003A56B7" w:rsidP="004C1C7D">
            <w:pPr>
              <w:pStyle w:val="DHHStablecolhead"/>
            </w:pPr>
            <w:r w:rsidRPr="003B10A0">
              <w:t>Question</w:t>
            </w:r>
          </w:p>
        </w:tc>
        <w:tc>
          <w:tcPr>
            <w:tcW w:w="6004" w:type="dxa"/>
          </w:tcPr>
          <w:p w14:paraId="3B69BE75"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443FA0E5"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EF660EB" w14:textId="77777777" w:rsidR="003A56B7" w:rsidRPr="003B10A0" w:rsidRDefault="003A56B7" w:rsidP="004C1C7D">
            <w:pPr>
              <w:pStyle w:val="DHHStabletext"/>
            </w:pPr>
            <w:r w:rsidRPr="003B10A0">
              <w:t>Required? (Yes or No)</w:t>
            </w:r>
          </w:p>
        </w:tc>
        <w:tc>
          <w:tcPr>
            <w:tcW w:w="6004" w:type="dxa"/>
          </w:tcPr>
          <w:p w14:paraId="7CF0FDA5"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21B4572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80C5811" w14:textId="77777777" w:rsidR="003A56B7" w:rsidRPr="003B10A0" w:rsidRDefault="003A56B7" w:rsidP="004C1C7D">
            <w:pPr>
              <w:pStyle w:val="DHHStabletext"/>
            </w:pPr>
            <w:r>
              <w:t>Completed?</w:t>
            </w:r>
          </w:p>
        </w:tc>
        <w:tc>
          <w:tcPr>
            <w:tcW w:w="6004" w:type="dxa"/>
          </w:tcPr>
          <w:p w14:paraId="6C9B6D13"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D798605" w14:textId="75C0B804" w:rsidR="005E7112" w:rsidRDefault="005E7112" w:rsidP="00577484">
      <w:pPr>
        <w:pStyle w:val="AppendixHeading2"/>
      </w:pPr>
      <w:r w:rsidRPr="005D0849">
        <w:t xml:space="preserve">Transaction </w:t>
      </w:r>
      <w:r w:rsidR="003A56B7">
        <w:t>r</w:t>
      </w:r>
      <w:r w:rsidRPr="005D0849">
        <w:t>equirements</w:t>
      </w:r>
    </w:p>
    <w:p w14:paraId="1CABA330" w14:textId="77777777" w:rsidR="003A56B7" w:rsidRDefault="003A56B7" w:rsidP="003A56B7">
      <w:pPr>
        <w:pStyle w:val="Heading3"/>
      </w:pPr>
      <w:r>
        <w:t>Legal engagement</w:t>
      </w:r>
    </w:p>
    <w:tbl>
      <w:tblPr>
        <w:tblStyle w:val="TableGrid"/>
        <w:tblW w:w="0" w:type="auto"/>
        <w:tblLook w:val="04A0" w:firstRow="1" w:lastRow="0" w:firstColumn="1" w:lastColumn="0" w:noHBand="0" w:noVBand="1"/>
      </w:tblPr>
      <w:tblGrid>
        <w:gridCol w:w="3329"/>
        <w:gridCol w:w="5851"/>
      </w:tblGrid>
      <w:tr w:rsidR="003A56B7" w:rsidRPr="003B10A0" w14:paraId="5173A013"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FA032FD" w14:textId="77777777" w:rsidR="003A56B7" w:rsidRPr="003B10A0" w:rsidRDefault="003A56B7" w:rsidP="004C1C7D">
            <w:pPr>
              <w:pStyle w:val="DHHStablecolhead"/>
            </w:pPr>
            <w:r w:rsidRPr="003B10A0">
              <w:t>Question</w:t>
            </w:r>
          </w:p>
        </w:tc>
        <w:tc>
          <w:tcPr>
            <w:tcW w:w="6004" w:type="dxa"/>
          </w:tcPr>
          <w:p w14:paraId="3FD109D9"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1DC2C43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BD0D55D" w14:textId="77777777" w:rsidR="003A56B7" w:rsidRPr="003B10A0" w:rsidRDefault="003A56B7" w:rsidP="004C1C7D">
            <w:pPr>
              <w:pStyle w:val="DHHStabletext"/>
            </w:pPr>
            <w:r>
              <w:t>Firm name</w:t>
            </w:r>
          </w:p>
        </w:tc>
        <w:tc>
          <w:tcPr>
            <w:tcW w:w="6004" w:type="dxa"/>
          </w:tcPr>
          <w:p w14:paraId="7596302A"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991BCA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3EEC068" w14:textId="77777777" w:rsidR="003A56B7" w:rsidRPr="003B10A0" w:rsidRDefault="003A56B7" w:rsidP="004C1C7D">
            <w:pPr>
              <w:pStyle w:val="DHHStabletext"/>
            </w:pPr>
            <w:r>
              <w:t>Legal fee ($)</w:t>
            </w:r>
          </w:p>
        </w:tc>
        <w:tc>
          <w:tcPr>
            <w:tcW w:w="6004" w:type="dxa"/>
          </w:tcPr>
          <w:p w14:paraId="09583FBC"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78F108D6"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6FE4236" w14:textId="77777777" w:rsidR="003A56B7" w:rsidRPr="003B10A0" w:rsidRDefault="003A56B7" w:rsidP="004C1C7D">
            <w:pPr>
              <w:pStyle w:val="DHHStabletext"/>
            </w:pPr>
            <w:r>
              <w:t>Date contract finalised</w:t>
            </w:r>
          </w:p>
        </w:tc>
        <w:tc>
          <w:tcPr>
            <w:tcW w:w="6004" w:type="dxa"/>
          </w:tcPr>
          <w:p w14:paraId="633EBD4C"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51ED0016" w14:textId="412C3D4C" w:rsidR="003A56B7" w:rsidRDefault="003A56B7" w:rsidP="003A56B7">
      <w:pPr>
        <w:pStyle w:val="Heading3"/>
      </w:pPr>
      <w:r>
        <w:t>Negotiation</w:t>
      </w:r>
    </w:p>
    <w:tbl>
      <w:tblPr>
        <w:tblStyle w:val="TableGrid"/>
        <w:tblW w:w="0" w:type="auto"/>
        <w:tblLook w:val="04A0" w:firstRow="1" w:lastRow="0" w:firstColumn="1" w:lastColumn="0" w:noHBand="0" w:noVBand="1"/>
      </w:tblPr>
      <w:tblGrid>
        <w:gridCol w:w="3331"/>
        <w:gridCol w:w="5849"/>
      </w:tblGrid>
      <w:tr w:rsidR="003A56B7" w:rsidRPr="003B10A0" w14:paraId="6A4147D8"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C29400F" w14:textId="77777777" w:rsidR="003A56B7" w:rsidRPr="003B10A0" w:rsidRDefault="003A56B7" w:rsidP="004C1C7D">
            <w:pPr>
              <w:pStyle w:val="DHHStablecolhead"/>
            </w:pPr>
            <w:r w:rsidRPr="003B10A0">
              <w:t>Question</w:t>
            </w:r>
            <w:r>
              <w:t xml:space="preserve"> or action</w:t>
            </w:r>
          </w:p>
        </w:tc>
        <w:tc>
          <w:tcPr>
            <w:tcW w:w="6004" w:type="dxa"/>
          </w:tcPr>
          <w:p w14:paraId="258B40CA"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1ED1E074"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56E07BA" w14:textId="4437334A" w:rsidR="003A56B7" w:rsidRPr="003B10A0" w:rsidRDefault="003A56B7" w:rsidP="004C1C7D">
            <w:pPr>
              <w:pStyle w:val="DHHStabletext"/>
            </w:pPr>
            <w:r>
              <w:t>Price agreement reached?</w:t>
            </w:r>
          </w:p>
        </w:tc>
        <w:tc>
          <w:tcPr>
            <w:tcW w:w="6004" w:type="dxa"/>
          </w:tcPr>
          <w:p w14:paraId="492B57BE"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0CE674C6"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749C801A" w14:textId="67FCAB8E" w:rsidR="003A56B7" w:rsidRPr="003B10A0" w:rsidRDefault="003A56B7" w:rsidP="004C1C7D">
            <w:pPr>
              <w:pStyle w:val="DHHStabletext"/>
            </w:pPr>
            <w:r>
              <w:t>Agreed purchase price ($)</w:t>
            </w:r>
          </w:p>
        </w:tc>
        <w:tc>
          <w:tcPr>
            <w:tcW w:w="6004" w:type="dxa"/>
          </w:tcPr>
          <w:p w14:paraId="32EB6DF7"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1CF16CBC" w14:textId="71465B16" w:rsidR="003A56B7" w:rsidRDefault="003A56B7" w:rsidP="003A56B7">
      <w:pPr>
        <w:pStyle w:val="Heading3"/>
      </w:pPr>
      <w:r>
        <w:t>Contracts signed</w:t>
      </w:r>
    </w:p>
    <w:tbl>
      <w:tblPr>
        <w:tblStyle w:val="TableGrid"/>
        <w:tblW w:w="0" w:type="auto"/>
        <w:tblLook w:val="04A0" w:firstRow="1" w:lastRow="0" w:firstColumn="1" w:lastColumn="0" w:noHBand="0" w:noVBand="1"/>
      </w:tblPr>
      <w:tblGrid>
        <w:gridCol w:w="3331"/>
        <w:gridCol w:w="5849"/>
      </w:tblGrid>
      <w:tr w:rsidR="003A56B7" w:rsidRPr="003B10A0" w14:paraId="0B134966"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4E51FE4" w14:textId="77777777" w:rsidR="003A56B7" w:rsidRPr="003B10A0" w:rsidRDefault="003A56B7" w:rsidP="004C1C7D">
            <w:pPr>
              <w:pStyle w:val="DHHStablecolhead"/>
            </w:pPr>
            <w:r w:rsidRPr="003B10A0">
              <w:t>Question</w:t>
            </w:r>
          </w:p>
        </w:tc>
        <w:tc>
          <w:tcPr>
            <w:tcW w:w="6004" w:type="dxa"/>
          </w:tcPr>
          <w:p w14:paraId="1505657E"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0DB4C37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7DF3917D" w14:textId="7346840C" w:rsidR="003A56B7" w:rsidRPr="003B10A0" w:rsidRDefault="003A56B7" w:rsidP="004C1C7D">
            <w:pPr>
              <w:pStyle w:val="DHHStabletext"/>
            </w:pPr>
            <w:r>
              <w:t>Date contract executed (settlement date)</w:t>
            </w:r>
          </w:p>
        </w:tc>
        <w:tc>
          <w:tcPr>
            <w:tcW w:w="6004" w:type="dxa"/>
          </w:tcPr>
          <w:p w14:paraId="04215489"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DBCBB30"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ABA9E50" w14:textId="2F28FA7C" w:rsidR="003A56B7" w:rsidRPr="003B10A0" w:rsidRDefault="003A56B7" w:rsidP="004C1C7D">
            <w:pPr>
              <w:pStyle w:val="DHHStabletext"/>
            </w:pPr>
            <w:r>
              <w:t>Deposit cheques raised or funds remitted to legal firm?</w:t>
            </w:r>
          </w:p>
        </w:tc>
        <w:tc>
          <w:tcPr>
            <w:tcW w:w="6004" w:type="dxa"/>
          </w:tcPr>
          <w:p w14:paraId="14586238"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9D71EFC" w14:textId="7D606045" w:rsidR="005E7112" w:rsidRDefault="005E7112" w:rsidP="00577484">
      <w:pPr>
        <w:pStyle w:val="AppendixHeading2"/>
      </w:pPr>
      <w:r w:rsidRPr="005D0849">
        <w:t xml:space="preserve">Settlement </w:t>
      </w:r>
      <w:r w:rsidR="003A56B7">
        <w:t>r</w:t>
      </w:r>
      <w:r w:rsidRPr="005D0849">
        <w:t>equirements</w:t>
      </w:r>
    </w:p>
    <w:p w14:paraId="6E53F00B" w14:textId="77777777" w:rsidR="003A56B7" w:rsidRDefault="003A56B7" w:rsidP="003A56B7">
      <w:pPr>
        <w:pStyle w:val="Heading3"/>
      </w:pPr>
      <w:r>
        <w:t>Settlement details</w:t>
      </w:r>
    </w:p>
    <w:tbl>
      <w:tblPr>
        <w:tblStyle w:val="TableGrid"/>
        <w:tblW w:w="0" w:type="auto"/>
        <w:tblLook w:val="04A0" w:firstRow="1" w:lastRow="0" w:firstColumn="1" w:lastColumn="0" w:noHBand="0" w:noVBand="1"/>
      </w:tblPr>
      <w:tblGrid>
        <w:gridCol w:w="3335"/>
        <w:gridCol w:w="5845"/>
      </w:tblGrid>
      <w:tr w:rsidR="003A56B7" w:rsidRPr="003B10A0" w14:paraId="2877E654"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52CD1A1" w14:textId="77777777" w:rsidR="003A56B7" w:rsidRPr="003B10A0" w:rsidRDefault="003A56B7" w:rsidP="004C1C7D">
            <w:pPr>
              <w:pStyle w:val="DHHStablecolhead"/>
            </w:pPr>
            <w:r w:rsidRPr="003B10A0">
              <w:t>Question</w:t>
            </w:r>
            <w:r>
              <w:t xml:space="preserve"> or action</w:t>
            </w:r>
          </w:p>
        </w:tc>
        <w:tc>
          <w:tcPr>
            <w:tcW w:w="6004" w:type="dxa"/>
          </w:tcPr>
          <w:p w14:paraId="4372DC3D"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0BB973A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1ACBFA03" w14:textId="77777777" w:rsidR="003A56B7" w:rsidRPr="003B10A0" w:rsidRDefault="003A56B7" w:rsidP="004C1C7D">
            <w:pPr>
              <w:pStyle w:val="DHHStabletext"/>
            </w:pPr>
            <w:r>
              <w:t>Settlement advice (adjustments and so on)</w:t>
            </w:r>
          </w:p>
        </w:tc>
        <w:tc>
          <w:tcPr>
            <w:tcW w:w="6004" w:type="dxa"/>
          </w:tcPr>
          <w:p w14:paraId="1E43023C"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0B01AAE"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4971F9D" w14:textId="348AD30D" w:rsidR="003A56B7" w:rsidRPr="003B10A0" w:rsidRDefault="003A56B7" w:rsidP="004C1C7D">
            <w:pPr>
              <w:pStyle w:val="DHHStabletext"/>
            </w:pPr>
            <w:r>
              <w:lastRenderedPageBreak/>
              <w:t>Raise settlement cheques or funds remitted to legal firm</w:t>
            </w:r>
          </w:p>
        </w:tc>
        <w:tc>
          <w:tcPr>
            <w:tcW w:w="6004" w:type="dxa"/>
          </w:tcPr>
          <w:p w14:paraId="14A4C898"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54897361"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EFC462C" w14:textId="55312F28" w:rsidR="003A56B7" w:rsidRPr="003B10A0" w:rsidRDefault="003A56B7" w:rsidP="004C1C7D">
            <w:pPr>
              <w:pStyle w:val="DHHStabletext"/>
            </w:pPr>
            <w:r>
              <w:t>Settlement advice (occurred)</w:t>
            </w:r>
          </w:p>
        </w:tc>
        <w:tc>
          <w:tcPr>
            <w:tcW w:w="6004" w:type="dxa"/>
          </w:tcPr>
          <w:p w14:paraId="3F1CF255"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5A9D3A24"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C352141" w14:textId="609479CB" w:rsidR="002563AE" w:rsidRDefault="002563AE" w:rsidP="004C1C7D">
            <w:pPr>
              <w:pStyle w:val="DHHStabletext"/>
            </w:pPr>
            <w:r>
              <w:t>Receipt of freehold title or notification of e-title</w:t>
            </w:r>
          </w:p>
        </w:tc>
        <w:tc>
          <w:tcPr>
            <w:tcW w:w="6004" w:type="dxa"/>
          </w:tcPr>
          <w:p w14:paraId="0D49931B"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81C3B89" w14:textId="77777777" w:rsidR="003A56B7" w:rsidRDefault="003A56B7" w:rsidP="003A56B7">
      <w:pPr>
        <w:pStyle w:val="Heading3"/>
      </w:pPr>
      <w:r>
        <w:t>Settlement deferred</w:t>
      </w:r>
    </w:p>
    <w:tbl>
      <w:tblPr>
        <w:tblStyle w:val="TableGrid"/>
        <w:tblW w:w="0" w:type="auto"/>
        <w:tblLook w:val="04A0" w:firstRow="1" w:lastRow="0" w:firstColumn="1" w:lastColumn="0" w:noHBand="0" w:noVBand="1"/>
      </w:tblPr>
      <w:tblGrid>
        <w:gridCol w:w="3330"/>
        <w:gridCol w:w="5850"/>
      </w:tblGrid>
      <w:tr w:rsidR="003A56B7" w:rsidRPr="003B10A0" w14:paraId="0E8AAD3D"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E24D4CE" w14:textId="77777777" w:rsidR="003A56B7" w:rsidRPr="003B10A0" w:rsidRDefault="003A56B7" w:rsidP="004C1C7D">
            <w:pPr>
              <w:pStyle w:val="DHHStablecolhead"/>
            </w:pPr>
            <w:r w:rsidRPr="003B10A0">
              <w:t>Question</w:t>
            </w:r>
            <w:r>
              <w:t xml:space="preserve"> or action</w:t>
            </w:r>
          </w:p>
        </w:tc>
        <w:tc>
          <w:tcPr>
            <w:tcW w:w="6004" w:type="dxa"/>
          </w:tcPr>
          <w:p w14:paraId="5604BB1A"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45102B6A"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4831000" w14:textId="77777777" w:rsidR="003A56B7" w:rsidRPr="003B10A0" w:rsidRDefault="003A56B7" w:rsidP="004C1C7D">
            <w:pPr>
              <w:pStyle w:val="DHHStabletext"/>
            </w:pPr>
            <w:r>
              <w:t>Penalty interest rate</w:t>
            </w:r>
          </w:p>
        </w:tc>
        <w:tc>
          <w:tcPr>
            <w:tcW w:w="6004" w:type="dxa"/>
          </w:tcPr>
          <w:p w14:paraId="2309ABCA"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94357D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185E62D8" w14:textId="77777777" w:rsidR="003A56B7" w:rsidRPr="003B10A0" w:rsidRDefault="003A56B7" w:rsidP="004C1C7D">
            <w:pPr>
              <w:pStyle w:val="DHHStabletext"/>
            </w:pPr>
            <w:r>
              <w:t>Amount</w:t>
            </w:r>
          </w:p>
        </w:tc>
        <w:tc>
          <w:tcPr>
            <w:tcW w:w="6004" w:type="dxa"/>
          </w:tcPr>
          <w:p w14:paraId="7802AA11"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1D826EF0"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478CE0B1" w14:textId="77777777" w:rsidR="003A56B7" w:rsidRDefault="003A56B7" w:rsidP="004C1C7D">
            <w:pPr>
              <w:pStyle w:val="DHHStabletext"/>
            </w:pPr>
            <w:r>
              <w:t>New settlement date</w:t>
            </w:r>
          </w:p>
        </w:tc>
        <w:tc>
          <w:tcPr>
            <w:tcW w:w="6004" w:type="dxa"/>
          </w:tcPr>
          <w:p w14:paraId="0294B222"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3A56B7" w:rsidRPr="003B10A0" w14:paraId="3788CE62"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FE6A397" w14:textId="77777777" w:rsidR="003A56B7" w:rsidRDefault="003A56B7" w:rsidP="004C1C7D">
            <w:pPr>
              <w:pStyle w:val="DHHStabletext"/>
            </w:pPr>
            <w:r>
              <w:t>Default notice issued?</w:t>
            </w:r>
          </w:p>
        </w:tc>
        <w:tc>
          <w:tcPr>
            <w:tcW w:w="6004" w:type="dxa"/>
          </w:tcPr>
          <w:p w14:paraId="3E1E9D64"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14E00F75" w14:textId="478009E5" w:rsidR="002563AE" w:rsidRDefault="002563AE" w:rsidP="002563AE">
      <w:pPr>
        <w:pStyle w:val="Heading3"/>
      </w:pPr>
      <w:r>
        <w:t>Crown land reservation</w:t>
      </w:r>
    </w:p>
    <w:tbl>
      <w:tblPr>
        <w:tblStyle w:val="TableGrid"/>
        <w:tblW w:w="0" w:type="auto"/>
        <w:tblLook w:val="04A0" w:firstRow="1" w:lastRow="0" w:firstColumn="1" w:lastColumn="0" w:noHBand="0" w:noVBand="1"/>
      </w:tblPr>
      <w:tblGrid>
        <w:gridCol w:w="3332"/>
        <w:gridCol w:w="5848"/>
      </w:tblGrid>
      <w:tr w:rsidR="002563AE" w:rsidRPr="003B10A0" w14:paraId="2C0B93F3"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BDB532" w14:textId="77777777" w:rsidR="002563AE" w:rsidRPr="003B10A0" w:rsidRDefault="002563AE" w:rsidP="004C1C7D">
            <w:pPr>
              <w:pStyle w:val="DHHStablecolhead"/>
            </w:pPr>
            <w:r w:rsidRPr="003B10A0">
              <w:t>Question</w:t>
            </w:r>
            <w:r>
              <w:t xml:space="preserve"> or action</w:t>
            </w:r>
          </w:p>
        </w:tc>
        <w:tc>
          <w:tcPr>
            <w:tcW w:w="6004" w:type="dxa"/>
          </w:tcPr>
          <w:p w14:paraId="72DD3A1E" w14:textId="77777777" w:rsidR="002563AE" w:rsidRPr="003B10A0" w:rsidRDefault="002563AE"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2563AE" w:rsidRPr="003B10A0" w14:paraId="77CBB2B3"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3379F47" w14:textId="4FE8BDFA" w:rsidR="002563AE" w:rsidRPr="003B10A0" w:rsidRDefault="002563AE" w:rsidP="004C1C7D">
            <w:pPr>
              <w:pStyle w:val="DHHStabletext"/>
            </w:pPr>
            <w:r>
              <w:t>Gazettal plan required?</w:t>
            </w:r>
          </w:p>
        </w:tc>
        <w:tc>
          <w:tcPr>
            <w:tcW w:w="6004" w:type="dxa"/>
          </w:tcPr>
          <w:p w14:paraId="17E64402"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06DBDC4E"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C938326" w14:textId="794A9FA1" w:rsidR="002563AE" w:rsidRPr="003B10A0" w:rsidRDefault="002563AE" w:rsidP="004C1C7D">
            <w:pPr>
              <w:pStyle w:val="DHHStabletext"/>
            </w:pPr>
            <w:r>
              <w:t>Type of reservation</w:t>
            </w:r>
          </w:p>
        </w:tc>
        <w:tc>
          <w:tcPr>
            <w:tcW w:w="6004" w:type="dxa"/>
          </w:tcPr>
          <w:p w14:paraId="221B280A"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5FC88CF9"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B9F598E" w14:textId="15DB17AF" w:rsidR="002563AE" w:rsidRDefault="002563AE" w:rsidP="004C1C7D">
            <w:pPr>
              <w:pStyle w:val="DHHStabletext"/>
            </w:pPr>
            <w:r>
              <w:t>Permanent or temporary?</w:t>
            </w:r>
          </w:p>
        </w:tc>
        <w:tc>
          <w:tcPr>
            <w:tcW w:w="6004" w:type="dxa"/>
          </w:tcPr>
          <w:p w14:paraId="6B3B5F6B"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5009FC4B"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2BD50519" w14:textId="32EA1FBB" w:rsidR="002563AE" w:rsidRDefault="002563AE" w:rsidP="004C1C7D">
            <w:pPr>
              <w:pStyle w:val="DHHStabletext"/>
            </w:pPr>
            <w:r>
              <w:t>Gazette notification</w:t>
            </w:r>
          </w:p>
        </w:tc>
        <w:tc>
          <w:tcPr>
            <w:tcW w:w="6004" w:type="dxa"/>
          </w:tcPr>
          <w:p w14:paraId="2631655A"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56414C2C"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5FBE98A5" w14:textId="37DBB290" w:rsidR="002563AE" w:rsidRDefault="002563AE" w:rsidP="004C1C7D">
            <w:pPr>
              <w:pStyle w:val="DHHStabletext"/>
            </w:pPr>
            <w:r>
              <w:t>Reserve number</w:t>
            </w:r>
          </w:p>
        </w:tc>
        <w:tc>
          <w:tcPr>
            <w:tcW w:w="6004" w:type="dxa"/>
          </w:tcPr>
          <w:p w14:paraId="2DF2CA22"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129079A5"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63B78084" w14:textId="45770482" w:rsidR="002563AE" w:rsidRDefault="002563AE" w:rsidP="004C1C7D">
            <w:pPr>
              <w:pStyle w:val="DHHStabletext"/>
            </w:pPr>
            <w:r>
              <w:t>For cemetery trusts: Governor-in-Council public cemetery declaration</w:t>
            </w:r>
          </w:p>
        </w:tc>
        <w:tc>
          <w:tcPr>
            <w:tcW w:w="6004" w:type="dxa"/>
          </w:tcPr>
          <w:p w14:paraId="11CA223F"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16626344" w14:textId="77777777" w:rsidR="003A56B7" w:rsidRDefault="003A56B7" w:rsidP="003A56B7">
      <w:pPr>
        <w:pStyle w:val="Heading3"/>
      </w:pPr>
      <w:r>
        <w:t>Assessment management record</w:t>
      </w:r>
    </w:p>
    <w:tbl>
      <w:tblPr>
        <w:tblStyle w:val="TableGrid"/>
        <w:tblW w:w="0" w:type="auto"/>
        <w:tblLook w:val="04A0" w:firstRow="1" w:lastRow="0" w:firstColumn="1" w:lastColumn="0" w:noHBand="0" w:noVBand="1"/>
      </w:tblPr>
      <w:tblGrid>
        <w:gridCol w:w="3329"/>
        <w:gridCol w:w="5851"/>
      </w:tblGrid>
      <w:tr w:rsidR="003A56B7" w:rsidRPr="003B10A0" w14:paraId="3F005B26" w14:textId="77777777" w:rsidTr="004C1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786DD20" w14:textId="77777777" w:rsidR="003A56B7" w:rsidRPr="003B10A0" w:rsidRDefault="003A56B7" w:rsidP="004C1C7D">
            <w:pPr>
              <w:pStyle w:val="DHHStablecolhead"/>
            </w:pPr>
            <w:r w:rsidRPr="003B10A0">
              <w:t>Question</w:t>
            </w:r>
            <w:r>
              <w:t xml:space="preserve"> or action</w:t>
            </w:r>
          </w:p>
        </w:tc>
        <w:tc>
          <w:tcPr>
            <w:tcW w:w="6004" w:type="dxa"/>
          </w:tcPr>
          <w:p w14:paraId="6BDE0205" w14:textId="77777777" w:rsidR="003A56B7" w:rsidRPr="003B10A0" w:rsidRDefault="003A56B7"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3A56B7" w:rsidRPr="003B10A0" w14:paraId="5E17DC0C"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0BB598D9" w14:textId="77777777" w:rsidR="003A56B7" w:rsidRPr="003B10A0" w:rsidRDefault="003A56B7" w:rsidP="004C1C7D">
            <w:pPr>
              <w:pStyle w:val="DHHStabletext"/>
            </w:pPr>
            <w:r>
              <w:t>Update asset register</w:t>
            </w:r>
          </w:p>
        </w:tc>
        <w:tc>
          <w:tcPr>
            <w:tcW w:w="6004" w:type="dxa"/>
          </w:tcPr>
          <w:p w14:paraId="50B580B7" w14:textId="77777777" w:rsidR="003A56B7" w:rsidRPr="003B10A0" w:rsidRDefault="003A56B7"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00ACF968" w14:textId="77777777" w:rsidTr="004C1C7D">
        <w:tc>
          <w:tcPr>
            <w:cnfStyle w:val="001000000000" w:firstRow="0" w:lastRow="0" w:firstColumn="1" w:lastColumn="0" w:oddVBand="0" w:evenVBand="0" w:oddHBand="0" w:evenHBand="0" w:firstRowFirstColumn="0" w:firstRowLastColumn="0" w:lastRowFirstColumn="0" w:lastRowLastColumn="0"/>
            <w:tcW w:w="3402" w:type="dxa"/>
          </w:tcPr>
          <w:p w14:paraId="3CE26580" w14:textId="620D0215" w:rsidR="002563AE" w:rsidRDefault="002563AE" w:rsidP="004C1C7D">
            <w:pPr>
              <w:pStyle w:val="DHHStabletext"/>
            </w:pPr>
            <w:r>
              <w:t>Add minimum dataset</w:t>
            </w:r>
          </w:p>
        </w:tc>
        <w:tc>
          <w:tcPr>
            <w:tcW w:w="6004" w:type="dxa"/>
          </w:tcPr>
          <w:p w14:paraId="545CA183" w14:textId="77777777" w:rsidR="002563AE" w:rsidRPr="003B10A0" w:rsidRDefault="002563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76DF80AF" w14:textId="1E3B113A" w:rsidR="002563AE" w:rsidRDefault="002563AE" w:rsidP="005E7112">
      <w:pPr>
        <w:pStyle w:val="DHHSbody"/>
      </w:pPr>
    </w:p>
    <w:p w14:paraId="3E8B5295" w14:textId="77777777" w:rsidR="004C1C7D" w:rsidRDefault="004C1C7D">
      <w:pPr>
        <w:sectPr w:rsidR="004C1C7D" w:rsidSect="002563AE">
          <w:footerReference w:type="even" r:id="rId53"/>
          <w:footerReference w:type="default" r:id="rId54"/>
          <w:pgSz w:w="11906" w:h="16838"/>
          <w:pgMar w:top="1134" w:right="1304" w:bottom="1701" w:left="1304" w:header="454" w:footer="510" w:gutter="0"/>
          <w:pgNumType w:start="1"/>
          <w:cols w:space="720"/>
          <w:titlePg/>
          <w:docGrid w:linePitch="360"/>
        </w:sectPr>
      </w:pPr>
    </w:p>
    <w:p w14:paraId="2396788A" w14:textId="755A29C7" w:rsidR="005E7112" w:rsidRDefault="005E7112" w:rsidP="005E7112">
      <w:pPr>
        <w:pStyle w:val="Heading1"/>
      </w:pPr>
      <w:bookmarkStart w:id="109" w:name="_Toc489625214"/>
      <w:bookmarkStart w:id="110" w:name="_Toc42254594"/>
      <w:bookmarkEnd w:id="93"/>
      <w:r>
        <w:lastRenderedPageBreak/>
        <w:t xml:space="preserve">Appendix 4: Divestment </w:t>
      </w:r>
      <w:r w:rsidR="002418AE">
        <w:t>c</w:t>
      </w:r>
      <w:r>
        <w:t>hecklist</w:t>
      </w:r>
      <w:bookmarkEnd w:id="109"/>
      <w:bookmarkEnd w:id="110"/>
    </w:p>
    <w:p w14:paraId="462E75A9" w14:textId="00CC8A68" w:rsidR="00B066B1" w:rsidRDefault="00B066B1" w:rsidP="00577484">
      <w:pPr>
        <w:pStyle w:val="DHHSbullet1"/>
      </w:pPr>
      <w:r>
        <w:t>Property divestment checklist</w:t>
      </w:r>
      <w:r w:rsidR="00F75A6D">
        <w:t xml:space="preserve"> (follows)</w:t>
      </w:r>
    </w:p>
    <w:p w14:paraId="7D776409" w14:textId="02D1F9BA" w:rsidR="005E7112" w:rsidRDefault="005E7112" w:rsidP="00577484">
      <w:pPr>
        <w:pStyle w:val="DHHSbullet1"/>
      </w:pPr>
      <w:bookmarkStart w:id="111" w:name="_Toc489625215"/>
      <w:r>
        <w:t xml:space="preserve">Attachment 4A: </w:t>
      </w:r>
      <w:r w:rsidR="00F75A6D">
        <w:t>DHHS first right of refusal request form</w:t>
      </w:r>
      <w:bookmarkEnd w:id="111"/>
      <w:r w:rsidR="00F75A6D">
        <w:t xml:space="preserve"> (follows)</w:t>
      </w:r>
    </w:p>
    <w:p w14:paraId="6845A082" w14:textId="1E1A2D6A" w:rsidR="005E7112" w:rsidRDefault="005E7112" w:rsidP="00577484">
      <w:pPr>
        <w:pStyle w:val="DHHSbullet1"/>
      </w:pPr>
      <w:bookmarkStart w:id="112" w:name="_Toc489625216"/>
      <w:r>
        <w:t xml:space="preserve">Valuer-General </w:t>
      </w:r>
      <w:r w:rsidR="00B066B1">
        <w:t>valuation request f</w:t>
      </w:r>
      <w:r>
        <w:t>orm</w:t>
      </w:r>
      <w:bookmarkEnd w:id="112"/>
      <w:r w:rsidR="00B066B1">
        <w:t xml:space="preserve">: </w:t>
      </w:r>
      <w:r w:rsidR="002563AE">
        <w:t xml:space="preserve">available on DELWP’s </w:t>
      </w:r>
      <w:hyperlink r:id="rId55" w:history="1">
        <w:r w:rsidR="002563AE" w:rsidRPr="00040AC6">
          <w:rPr>
            <w:rStyle w:val="Hyperlink"/>
          </w:rPr>
          <w:t>Government valuations page</w:t>
        </w:r>
      </w:hyperlink>
      <w:r w:rsidR="002563AE">
        <w:t xml:space="preserve"> &lt;</w:t>
      </w:r>
      <w:r w:rsidR="002563AE" w:rsidRPr="00040AC6">
        <w:t>https://www.propertyandlandtitles.vic.gov.au/valuation/government-valuations</w:t>
      </w:r>
      <w:r w:rsidR="002563AE">
        <w:t>&gt;</w:t>
      </w:r>
    </w:p>
    <w:p w14:paraId="6A534688" w14:textId="44D89452" w:rsidR="005E7112" w:rsidRDefault="005E7112" w:rsidP="00577484">
      <w:pPr>
        <w:pStyle w:val="DHHSbullet1"/>
      </w:pPr>
      <w:bookmarkStart w:id="113" w:name="_Toc489625217"/>
      <w:r>
        <w:t xml:space="preserve">Government Land Monitor </w:t>
      </w:r>
      <w:r w:rsidR="00B066B1">
        <w:t>approval request</w:t>
      </w:r>
      <w:bookmarkEnd w:id="113"/>
      <w:r w:rsidR="00B066B1">
        <w:t>:</w:t>
      </w:r>
      <w:r w:rsidR="002563AE">
        <w:t xml:space="preserve"> </w:t>
      </w:r>
      <w:r w:rsidR="002563AE" w:rsidRPr="00B3438C">
        <w:t xml:space="preserve">can be made using </w:t>
      </w:r>
      <w:hyperlink r:id="rId56" w:history="1">
        <w:r w:rsidR="002563AE" w:rsidRPr="000724AC">
          <w:rPr>
            <w:rStyle w:val="Hyperlink"/>
          </w:rPr>
          <w:t>VGLM Online</w:t>
        </w:r>
      </w:hyperlink>
      <w:r w:rsidR="002563AE" w:rsidRPr="00410EC7">
        <w:t xml:space="preserve"> &lt;https://vglm.vic.gov.au&gt;</w:t>
      </w:r>
      <w:r w:rsidR="00B066B1">
        <w:t xml:space="preserve"> </w:t>
      </w:r>
    </w:p>
    <w:p w14:paraId="49E75B40" w14:textId="77777777" w:rsidR="004C1C7D" w:rsidRDefault="004C1C7D">
      <w:pPr>
        <w:sectPr w:rsidR="004C1C7D" w:rsidSect="000A39D7">
          <w:footerReference w:type="default" r:id="rId57"/>
          <w:footerReference w:type="first" r:id="rId58"/>
          <w:pgSz w:w="11906" w:h="16838"/>
          <w:pgMar w:top="1134" w:right="1304" w:bottom="1701" w:left="1304" w:header="454" w:footer="510" w:gutter="0"/>
          <w:pgNumType w:start="27"/>
          <w:cols w:space="720"/>
          <w:titlePg/>
          <w:docGrid w:linePitch="360"/>
        </w:sectPr>
      </w:pPr>
    </w:p>
    <w:p w14:paraId="6736F427" w14:textId="7E61594B" w:rsidR="00614376" w:rsidRDefault="003C2C55" w:rsidP="00577484">
      <w:pPr>
        <w:pStyle w:val="DHHSmainheading"/>
      </w:pPr>
      <w:r>
        <w:rPr>
          <w:rFonts w:eastAsia="Times"/>
          <w:noProof/>
        </w:rPr>
        <w:lastRenderedPageBreak/>
        <w:drawing>
          <wp:anchor distT="0" distB="0" distL="114300" distR="114300" simplePos="0" relativeHeight="251656192" behindDoc="1" locked="1" layoutInCell="0" allowOverlap="1" wp14:anchorId="3DA00AA6" wp14:editId="7DFA7AA8">
            <wp:simplePos x="0" y="0"/>
            <wp:positionH relativeFrom="page">
              <wp:posOffset>0</wp:posOffset>
            </wp:positionH>
            <wp:positionV relativeFrom="page">
              <wp:posOffset>-576580</wp:posOffset>
            </wp:positionV>
            <wp:extent cx="7570470" cy="2077085"/>
            <wp:effectExtent l="0" t="0" r="0" b="0"/>
            <wp:wrapNone/>
            <wp:docPr id="8" name="Picture 8" descr="Heading: Property divestmen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570470" cy="207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376">
        <w:t>Property divestment checklist</w:t>
      </w:r>
    </w:p>
    <w:p w14:paraId="424163F2" w14:textId="77777777" w:rsidR="005E7112" w:rsidRPr="00F54E18" w:rsidRDefault="005E7112" w:rsidP="00577484">
      <w:pPr>
        <w:pStyle w:val="AppendixHeading2"/>
        <w:spacing w:before="960"/>
      </w:pPr>
      <w:r w:rsidRPr="00F54E18">
        <w:t>Purpose</w:t>
      </w:r>
    </w:p>
    <w:p w14:paraId="61A40458" w14:textId="77777777" w:rsidR="005E7112" w:rsidRDefault="005E7112" w:rsidP="005E7112">
      <w:pPr>
        <w:pStyle w:val="DHHSbody"/>
      </w:pPr>
      <w:r>
        <w:t xml:space="preserve">This checklist is for use by staff to ensure the proper processes are applied to the divestment of land. </w:t>
      </w:r>
    </w:p>
    <w:p w14:paraId="6C477E1B" w14:textId="0943F860" w:rsidR="005E7112" w:rsidRDefault="005E7112" w:rsidP="005E7112">
      <w:pPr>
        <w:pStyle w:val="DHHSbody"/>
      </w:pPr>
      <w:r>
        <w:t xml:space="preserve">It is incumbent on all Chairs, Chief Executives and Secretaries responsible for Health </w:t>
      </w:r>
      <w:r w:rsidR="002418AE">
        <w:t>p</w:t>
      </w:r>
      <w:r>
        <w:t xml:space="preserve">ortfolio public entities to ensure that all property transactions in which they are involved are carried out </w:t>
      </w:r>
      <w:r w:rsidR="00614376">
        <w:t>in line with</w:t>
      </w:r>
      <w:r>
        <w:t xml:space="preserve"> </w:t>
      </w:r>
      <w:r w:rsidR="002418AE">
        <w:t>w</w:t>
      </w:r>
      <w:r>
        <w:t xml:space="preserve">hole of Victorian Government and Victorian Department of Health and Human Services policies, procedures and guidelines. </w:t>
      </w:r>
    </w:p>
    <w:p w14:paraId="0DBDBF5B" w14:textId="77777777" w:rsidR="005E7112" w:rsidRPr="004E0550" w:rsidRDefault="005E7112" w:rsidP="005E7112">
      <w:pPr>
        <w:pStyle w:val="DHHSbody"/>
      </w:pPr>
      <w:r>
        <w:t>The actual process is tailored for each individual project depending on individual project requirements.</w:t>
      </w:r>
    </w:p>
    <w:p w14:paraId="40B06932" w14:textId="0F9C3FE3" w:rsidR="005E7112" w:rsidRDefault="005E7112" w:rsidP="00577484">
      <w:pPr>
        <w:pStyle w:val="AppendixHeading2"/>
      </w:pPr>
      <w:bookmarkStart w:id="114" w:name="_Toc440566508"/>
      <w:r>
        <w:t xml:space="preserve">Project </w:t>
      </w:r>
      <w:r w:rsidR="0025659E">
        <w:t>details</w:t>
      </w:r>
    </w:p>
    <w:p w14:paraId="08762C30" w14:textId="31B4C60C" w:rsidR="002418AE" w:rsidRPr="00577484" w:rsidRDefault="002418AE" w:rsidP="00577484">
      <w:pPr>
        <w:pStyle w:val="DHHSbody"/>
      </w:pPr>
      <w:r w:rsidRPr="00577484">
        <w:rPr>
          <w:b/>
          <w:bCs/>
        </w:rPr>
        <w:t>Note</w:t>
      </w:r>
      <w:r w:rsidRPr="00577484">
        <w:t xml:space="preserve">: Divestment of land </w:t>
      </w:r>
      <w:r w:rsidRPr="00577484">
        <w:rPr>
          <w:b/>
          <w:bCs/>
        </w:rPr>
        <w:t>must</w:t>
      </w:r>
      <w:r w:rsidRPr="00577484">
        <w:t xml:space="preserve"> be in line with the </w:t>
      </w:r>
      <w:r w:rsidRPr="00577484">
        <w:rPr>
          <w:i/>
          <w:iCs/>
        </w:rPr>
        <w:t xml:space="preserve">Victorian Government land transactions policy and </w:t>
      </w:r>
      <w:proofErr w:type="gramStart"/>
      <w:r w:rsidRPr="00577484">
        <w:rPr>
          <w:i/>
          <w:iCs/>
        </w:rPr>
        <w:t>guidelines</w:t>
      </w:r>
      <w:r w:rsidRPr="00577484">
        <w:t>, and</w:t>
      </w:r>
      <w:proofErr w:type="gramEnd"/>
      <w:r w:rsidRPr="00577484">
        <w:t xml:space="preserve"> be conducted through a public sale process unless an exemption is granted.</w:t>
      </w:r>
    </w:p>
    <w:tbl>
      <w:tblPr>
        <w:tblStyle w:val="TableGrid"/>
        <w:tblW w:w="0" w:type="auto"/>
        <w:tblLook w:val="04A0" w:firstRow="1" w:lastRow="0" w:firstColumn="1" w:lastColumn="0" w:noHBand="0" w:noVBand="1"/>
      </w:tblPr>
      <w:tblGrid>
        <w:gridCol w:w="3471"/>
        <w:gridCol w:w="5709"/>
      </w:tblGrid>
      <w:tr w:rsidR="002563AE" w:rsidRPr="003B10A0" w14:paraId="01D7BF78" w14:textId="77777777" w:rsidTr="00241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DFC607C" w14:textId="77777777" w:rsidR="002418AE" w:rsidRPr="003B10A0" w:rsidRDefault="002418AE" w:rsidP="004C1C7D">
            <w:pPr>
              <w:pStyle w:val="DHHStablecolhead"/>
            </w:pPr>
            <w:r w:rsidRPr="003B10A0">
              <w:t>Question</w:t>
            </w:r>
          </w:p>
        </w:tc>
        <w:tc>
          <w:tcPr>
            <w:tcW w:w="5862" w:type="dxa"/>
          </w:tcPr>
          <w:p w14:paraId="560E68CF" w14:textId="77777777"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2563AE" w:rsidRPr="003B10A0" w14:paraId="324F87E7" w14:textId="77777777" w:rsidTr="002418AE">
        <w:tc>
          <w:tcPr>
            <w:cnfStyle w:val="001000000000" w:firstRow="0" w:lastRow="0" w:firstColumn="1" w:lastColumn="0" w:oddVBand="0" w:evenVBand="0" w:oddHBand="0" w:evenHBand="0" w:firstRowFirstColumn="0" w:firstRowLastColumn="0" w:lastRowFirstColumn="0" w:lastRowLastColumn="0"/>
            <w:tcW w:w="3544" w:type="dxa"/>
          </w:tcPr>
          <w:p w14:paraId="4CD91225" w14:textId="1C01E7A7" w:rsidR="002418AE" w:rsidRPr="002418AE" w:rsidRDefault="002418AE">
            <w:pPr>
              <w:pStyle w:val="DHHStabletext"/>
            </w:pPr>
            <w:r w:rsidRPr="002418AE">
              <w:t xml:space="preserve">Health portfolio public entity </w:t>
            </w:r>
          </w:p>
        </w:tc>
        <w:tc>
          <w:tcPr>
            <w:tcW w:w="5862" w:type="dxa"/>
          </w:tcPr>
          <w:p w14:paraId="3E99EE16"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02BD58D4" w14:textId="77777777" w:rsidTr="002418AE">
        <w:tc>
          <w:tcPr>
            <w:cnfStyle w:val="001000000000" w:firstRow="0" w:lastRow="0" w:firstColumn="1" w:lastColumn="0" w:oddVBand="0" w:evenVBand="0" w:oddHBand="0" w:evenHBand="0" w:firstRowFirstColumn="0" w:firstRowLastColumn="0" w:lastRowFirstColumn="0" w:lastRowLastColumn="0"/>
            <w:tcW w:w="3544" w:type="dxa"/>
          </w:tcPr>
          <w:p w14:paraId="301D6E74" w14:textId="52B96817" w:rsidR="002418AE" w:rsidRPr="002418AE" w:rsidRDefault="002418AE">
            <w:pPr>
              <w:pStyle w:val="DHHStabletext"/>
            </w:pPr>
            <w:r w:rsidRPr="002418AE">
              <w:t>Project objective</w:t>
            </w:r>
          </w:p>
        </w:tc>
        <w:tc>
          <w:tcPr>
            <w:tcW w:w="5862" w:type="dxa"/>
          </w:tcPr>
          <w:p w14:paraId="74232131" w14:textId="5914959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r w:rsidRPr="002418AE">
              <w:t xml:space="preserve">To prepare surplus land for sale by public </w:t>
            </w:r>
            <w:r w:rsidRPr="00577484">
              <w:rPr>
                <w:b/>
                <w:bCs/>
              </w:rPr>
              <w:t>auction or tender</w:t>
            </w:r>
          </w:p>
        </w:tc>
      </w:tr>
      <w:tr w:rsidR="002563AE" w:rsidRPr="003B10A0" w14:paraId="6EDC91BE" w14:textId="77777777" w:rsidTr="002418AE">
        <w:tc>
          <w:tcPr>
            <w:cnfStyle w:val="001000000000" w:firstRow="0" w:lastRow="0" w:firstColumn="1" w:lastColumn="0" w:oddVBand="0" w:evenVBand="0" w:oddHBand="0" w:evenHBand="0" w:firstRowFirstColumn="0" w:firstRowLastColumn="0" w:lastRowFirstColumn="0" w:lastRowLastColumn="0"/>
            <w:tcW w:w="3544" w:type="dxa"/>
          </w:tcPr>
          <w:p w14:paraId="35057297" w14:textId="166B24FA" w:rsidR="002418AE" w:rsidRPr="002418AE" w:rsidRDefault="002418AE">
            <w:pPr>
              <w:pStyle w:val="DHHStabletext"/>
            </w:pPr>
            <w:r w:rsidRPr="00577484">
              <w:t>Deliverables</w:t>
            </w:r>
            <w:r>
              <w:t xml:space="preserve"> – FY and file number</w:t>
            </w:r>
          </w:p>
        </w:tc>
        <w:tc>
          <w:tcPr>
            <w:tcW w:w="5862" w:type="dxa"/>
          </w:tcPr>
          <w:p w14:paraId="2D09DFD4"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39BE22E7"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35DEB054" w14:textId="4AF878F0" w:rsidR="002418AE" w:rsidRPr="00577484" w:rsidRDefault="002418AE">
            <w:pPr>
              <w:pStyle w:val="DHHStabletext"/>
            </w:pPr>
            <w:r w:rsidRPr="002418AE">
              <w:t>Project manager</w:t>
            </w:r>
          </w:p>
        </w:tc>
        <w:tc>
          <w:tcPr>
            <w:tcW w:w="5862" w:type="dxa"/>
          </w:tcPr>
          <w:p w14:paraId="3B1F459B"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75E30452"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4669AFA7" w14:textId="0E72DAC1" w:rsidR="002418AE" w:rsidRPr="00577484" w:rsidRDefault="002418AE">
            <w:pPr>
              <w:pStyle w:val="DHHStabletext"/>
            </w:pPr>
            <w:r w:rsidRPr="002418AE">
              <w:t>Property address</w:t>
            </w:r>
          </w:p>
        </w:tc>
        <w:tc>
          <w:tcPr>
            <w:tcW w:w="5862" w:type="dxa"/>
          </w:tcPr>
          <w:p w14:paraId="5F8469FD"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72F08A71"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05FBFF06" w14:textId="2C3197C9" w:rsidR="002418AE" w:rsidRPr="00577484" w:rsidRDefault="002418AE">
            <w:pPr>
              <w:pStyle w:val="DHHStabletext"/>
            </w:pPr>
            <w:r w:rsidRPr="002418AE">
              <w:t xml:space="preserve">Legal description </w:t>
            </w:r>
            <w:r>
              <w:t>– Volume and folio</w:t>
            </w:r>
          </w:p>
        </w:tc>
        <w:tc>
          <w:tcPr>
            <w:tcW w:w="5862" w:type="dxa"/>
          </w:tcPr>
          <w:p w14:paraId="2F733CCE"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26DF1046"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4CD96C3D" w14:textId="472059CA" w:rsidR="002418AE" w:rsidRPr="00577484" w:rsidRDefault="002418AE">
            <w:pPr>
              <w:pStyle w:val="DHHStabletext"/>
            </w:pPr>
            <w:r w:rsidRPr="002418AE">
              <w:t>Land area</w:t>
            </w:r>
            <w:r>
              <w:t xml:space="preserve"> (hectares)</w:t>
            </w:r>
          </w:p>
        </w:tc>
        <w:tc>
          <w:tcPr>
            <w:tcW w:w="5862" w:type="dxa"/>
          </w:tcPr>
          <w:p w14:paraId="4C1A453D"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2B2C41F3"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6C26DAF8" w14:textId="022C4FF7" w:rsidR="002418AE" w:rsidRPr="00577484" w:rsidRDefault="002418AE">
            <w:pPr>
              <w:pStyle w:val="DHHStabletext"/>
            </w:pPr>
            <w:r w:rsidRPr="002418AE">
              <w:t>Legislative p</w:t>
            </w:r>
            <w:r w:rsidRPr="00577484">
              <w:t xml:space="preserve">rovisions </w:t>
            </w:r>
            <w:r w:rsidRPr="002418AE">
              <w:t>a</w:t>
            </w:r>
            <w:r w:rsidRPr="00577484">
              <w:t xml:space="preserve">uthorising </w:t>
            </w:r>
            <w:r w:rsidRPr="002418AE">
              <w:t>t</w:t>
            </w:r>
            <w:r w:rsidRPr="00577484">
              <w:t>ransaction</w:t>
            </w:r>
            <w:r>
              <w:t xml:space="preserve"> – Act and section</w:t>
            </w:r>
          </w:p>
        </w:tc>
        <w:tc>
          <w:tcPr>
            <w:tcW w:w="5862" w:type="dxa"/>
          </w:tcPr>
          <w:p w14:paraId="29AB496A" w14:textId="77777777" w:rsidR="002418AE" w:rsidRPr="003B10A0" w:rsidRDefault="002418AE" w:rsidP="002418AE">
            <w:pPr>
              <w:pStyle w:val="DHHStabletext"/>
              <w:cnfStyle w:val="000000000000" w:firstRow="0" w:lastRow="0" w:firstColumn="0" w:lastColumn="0" w:oddVBand="0" w:evenVBand="0" w:oddHBand="0" w:evenHBand="0" w:firstRowFirstColumn="0" w:firstRowLastColumn="0" w:lastRowFirstColumn="0" w:lastRowLastColumn="0"/>
            </w:pPr>
          </w:p>
        </w:tc>
      </w:tr>
    </w:tbl>
    <w:bookmarkEnd w:id="114"/>
    <w:p w14:paraId="40CC0510" w14:textId="68C2A361" w:rsidR="005E7112" w:rsidRDefault="005E7112" w:rsidP="00577484">
      <w:pPr>
        <w:pStyle w:val="AppendixHeading2"/>
      </w:pPr>
      <w:r>
        <w:t xml:space="preserve">Due </w:t>
      </w:r>
      <w:r w:rsidR="0025659E">
        <w:t>diligence</w:t>
      </w:r>
    </w:p>
    <w:tbl>
      <w:tblPr>
        <w:tblStyle w:val="TableGrid"/>
        <w:tblW w:w="0" w:type="auto"/>
        <w:tblLook w:val="04A0" w:firstRow="1" w:lastRow="0" w:firstColumn="1" w:lastColumn="0" w:noHBand="0" w:noVBand="1"/>
      </w:tblPr>
      <w:tblGrid>
        <w:gridCol w:w="3477"/>
        <w:gridCol w:w="2858"/>
        <w:gridCol w:w="2845"/>
      </w:tblGrid>
      <w:tr w:rsidR="002418AE" w:rsidRPr="003B10A0" w14:paraId="77A3E6D2" w14:textId="5B0BA350"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6" w:type="dxa"/>
          </w:tcPr>
          <w:p w14:paraId="0B545868" w14:textId="5F01D2BC" w:rsidR="002418AE" w:rsidRPr="003B10A0" w:rsidRDefault="002418AE" w:rsidP="004C1C7D">
            <w:pPr>
              <w:pStyle w:val="DHHStablecolhead"/>
            </w:pPr>
            <w:r>
              <w:t>Project task</w:t>
            </w:r>
          </w:p>
        </w:tc>
        <w:tc>
          <w:tcPr>
            <w:tcW w:w="2925" w:type="dxa"/>
          </w:tcPr>
          <w:p w14:paraId="3DD03592" w14:textId="2E988DAB"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t>Required? (Yes or No)</w:t>
            </w:r>
          </w:p>
        </w:tc>
        <w:tc>
          <w:tcPr>
            <w:tcW w:w="2925" w:type="dxa"/>
          </w:tcPr>
          <w:p w14:paraId="68851850" w14:textId="10F1449E"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t>Details</w:t>
            </w:r>
          </w:p>
        </w:tc>
      </w:tr>
      <w:tr w:rsidR="002418AE" w:rsidRPr="003B10A0" w14:paraId="50DAC5E3" w14:textId="5502B69D" w:rsidTr="00577484">
        <w:tc>
          <w:tcPr>
            <w:cnfStyle w:val="001000000000" w:firstRow="0" w:lastRow="0" w:firstColumn="1" w:lastColumn="0" w:oddVBand="0" w:evenVBand="0" w:oddHBand="0" w:evenHBand="0" w:firstRowFirstColumn="0" w:firstRowLastColumn="0" w:lastRowFirstColumn="0" w:lastRowLastColumn="0"/>
            <w:tcW w:w="3556" w:type="dxa"/>
          </w:tcPr>
          <w:p w14:paraId="65DAFCC0" w14:textId="6217E9B9" w:rsidR="002418AE" w:rsidRPr="003B10A0" w:rsidRDefault="002418AE" w:rsidP="004C1C7D">
            <w:pPr>
              <w:pStyle w:val="DHHStabletext"/>
            </w:pPr>
            <w:r>
              <w:t>Survey or Check survey</w:t>
            </w:r>
          </w:p>
        </w:tc>
        <w:tc>
          <w:tcPr>
            <w:tcW w:w="2925" w:type="dxa"/>
          </w:tcPr>
          <w:p w14:paraId="1D1F3256"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2925" w:type="dxa"/>
          </w:tcPr>
          <w:p w14:paraId="6424810C"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2C3C5D56" w14:textId="6777854B" w:rsidTr="00577484">
        <w:tc>
          <w:tcPr>
            <w:cnfStyle w:val="001000000000" w:firstRow="0" w:lastRow="0" w:firstColumn="1" w:lastColumn="0" w:oddVBand="0" w:evenVBand="0" w:oddHBand="0" w:evenHBand="0" w:firstRowFirstColumn="0" w:firstRowLastColumn="0" w:lastRowFirstColumn="0" w:lastRowLastColumn="0"/>
            <w:tcW w:w="3556" w:type="dxa"/>
          </w:tcPr>
          <w:p w14:paraId="73E67B97" w14:textId="6BA4CE90" w:rsidR="002418AE" w:rsidRPr="003B10A0" w:rsidRDefault="002418AE" w:rsidP="004C1C7D">
            <w:pPr>
              <w:pStyle w:val="DHHStabletext"/>
            </w:pPr>
            <w:r>
              <w:t>Building condition</w:t>
            </w:r>
          </w:p>
        </w:tc>
        <w:tc>
          <w:tcPr>
            <w:tcW w:w="2925" w:type="dxa"/>
          </w:tcPr>
          <w:p w14:paraId="6C203FCC"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2925" w:type="dxa"/>
          </w:tcPr>
          <w:p w14:paraId="6F418993"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2ED42F2B" w14:textId="4047CBDB" w:rsidTr="00577484">
        <w:tc>
          <w:tcPr>
            <w:cnfStyle w:val="001000000000" w:firstRow="0" w:lastRow="0" w:firstColumn="1" w:lastColumn="0" w:oddVBand="0" w:evenVBand="0" w:oddHBand="0" w:evenHBand="0" w:firstRowFirstColumn="0" w:firstRowLastColumn="0" w:lastRowFirstColumn="0" w:lastRowLastColumn="0"/>
            <w:tcW w:w="3556" w:type="dxa"/>
          </w:tcPr>
          <w:p w14:paraId="22D57932" w14:textId="2A764CB0" w:rsidR="002418AE" w:rsidRPr="003B10A0" w:rsidRDefault="002418AE" w:rsidP="004C1C7D">
            <w:pPr>
              <w:pStyle w:val="DHHStabletext"/>
            </w:pPr>
            <w:r>
              <w:t>Hazardous materials</w:t>
            </w:r>
          </w:p>
        </w:tc>
        <w:tc>
          <w:tcPr>
            <w:tcW w:w="2925" w:type="dxa"/>
          </w:tcPr>
          <w:p w14:paraId="72973B8B"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2925" w:type="dxa"/>
          </w:tcPr>
          <w:p w14:paraId="1D64695A"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7369D75C" w14:textId="77777777" w:rsidTr="00577484">
        <w:tc>
          <w:tcPr>
            <w:cnfStyle w:val="001000000000" w:firstRow="0" w:lastRow="0" w:firstColumn="1" w:lastColumn="0" w:oddVBand="0" w:evenVBand="0" w:oddHBand="0" w:evenHBand="0" w:firstRowFirstColumn="0" w:firstRowLastColumn="0" w:lastRowFirstColumn="0" w:lastRowLastColumn="0"/>
            <w:tcW w:w="3556" w:type="dxa"/>
          </w:tcPr>
          <w:p w14:paraId="1B930EAA" w14:textId="71803C82" w:rsidR="002418AE" w:rsidRDefault="002418AE" w:rsidP="004C1C7D">
            <w:pPr>
              <w:pStyle w:val="DHHStabletext"/>
            </w:pPr>
            <w:r>
              <w:t>Service identification (relocation, removal, establishment)</w:t>
            </w:r>
          </w:p>
        </w:tc>
        <w:tc>
          <w:tcPr>
            <w:tcW w:w="2925" w:type="dxa"/>
          </w:tcPr>
          <w:p w14:paraId="73A654D7"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c>
          <w:tcPr>
            <w:tcW w:w="2925" w:type="dxa"/>
          </w:tcPr>
          <w:p w14:paraId="4F11A814"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76F8121" w14:textId="77777777" w:rsidR="003C2C55" w:rsidRDefault="003C2C55" w:rsidP="000E2978">
      <w:pPr>
        <w:pStyle w:val="DHHSbody"/>
      </w:pPr>
    </w:p>
    <w:p w14:paraId="6117EA70" w14:textId="77777777" w:rsidR="003C2C55" w:rsidRDefault="003C2C55">
      <w:pPr>
        <w:rPr>
          <w:rFonts w:ascii="Arial" w:eastAsia="MS Gothic" w:hAnsi="Arial"/>
          <w:b/>
          <w:bCs/>
          <w:sz w:val="24"/>
          <w:szCs w:val="26"/>
        </w:rPr>
      </w:pPr>
      <w:r>
        <w:br w:type="page"/>
      </w:r>
    </w:p>
    <w:p w14:paraId="0ECB1916" w14:textId="3BB9C719" w:rsidR="00F519FA" w:rsidRDefault="00F519FA" w:rsidP="00F519FA">
      <w:pPr>
        <w:pStyle w:val="Heading3"/>
      </w:pPr>
      <w:r>
        <w:lastRenderedPageBreak/>
        <w:t>Environmental assessme</w:t>
      </w:r>
      <w:r w:rsidR="002418AE">
        <w:t>nt</w:t>
      </w:r>
    </w:p>
    <w:tbl>
      <w:tblPr>
        <w:tblStyle w:val="TableGrid"/>
        <w:tblW w:w="0" w:type="auto"/>
        <w:tblLook w:val="04A0" w:firstRow="1" w:lastRow="0" w:firstColumn="1" w:lastColumn="0" w:noHBand="0" w:noVBand="1"/>
      </w:tblPr>
      <w:tblGrid>
        <w:gridCol w:w="3334"/>
        <w:gridCol w:w="5846"/>
      </w:tblGrid>
      <w:tr w:rsidR="00F519FA" w:rsidRPr="003B10A0" w14:paraId="53EA487E"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08E2554" w14:textId="7FA17C20" w:rsidR="00F519FA" w:rsidRPr="003B10A0" w:rsidRDefault="00F519FA" w:rsidP="00F519FA">
            <w:pPr>
              <w:pStyle w:val="DHHStablecolhead"/>
            </w:pPr>
            <w:r w:rsidRPr="003B10A0">
              <w:t>Question</w:t>
            </w:r>
            <w:r>
              <w:t xml:space="preserve"> or action</w:t>
            </w:r>
          </w:p>
        </w:tc>
        <w:tc>
          <w:tcPr>
            <w:tcW w:w="6004" w:type="dxa"/>
          </w:tcPr>
          <w:p w14:paraId="083AD42C"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5B5DD60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DEBDF91" w14:textId="77777777" w:rsidR="00F519FA" w:rsidRPr="003B10A0" w:rsidRDefault="00F519FA" w:rsidP="00F519FA">
            <w:pPr>
              <w:pStyle w:val="DHHStabletext"/>
            </w:pPr>
            <w:r w:rsidRPr="003B10A0">
              <w:t>Required? (Yes or No)</w:t>
            </w:r>
          </w:p>
        </w:tc>
        <w:tc>
          <w:tcPr>
            <w:tcW w:w="6004" w:type="dxa"/>
          </w:tcPr>
          <w:p w14:paraId="3CEC96B1"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5808DC67"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9E96AB8" w14:textId="2B38A253" w:rsidR="00F519FA" w:rsidRPr="003B10A0" w:rsidRDefault="00F519FA" w:rsidP="00F519FA">
            <w:pPr>
              <w:pStyle w:val="DHHStabletext"/>
            </w:pPr>
            <w:r>
              <w:t>Desktop analysis</w:t>
            </w:r>
          </w:p>
        </w:tc>
        <w:tc>
          <w:tcPr>
            <w:tcW w:w="6004" w:type="dxa"/>
          </w:tcPr>
          <w:p w14:paraId="4AAFDEF3"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086DE915"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66FC4A3C" w14:textId="573B2416" w:rsidR="00F519FA" w:rsidRPr="003B10A0" w:rsidRDefault="00F519FA" w:rsidP="00F519FA">
            <w:pPr>
              <w:pStyle w:val="DHHStabletext"/>
            </w:pPr>
            <w:r>
              <w:t>Phase 1</w:t>
            </w:r>
          </w:p>
        </w:tc>
        <w:tc>
          <w:tcPr>
            <w:tcW w:w="6004" w:type="dxa"/>
          </w:tcPr>
          <w:p w14:paraId="77B8D26F"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28808162"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3E1FBF4" w14:textId="53BAA7F0" w:rsidR="00F519FA" w:rsidRDefault="00F519FA" w:rsidP="00F519FA">
            <w:pPr>
              <w:pStyle w:val="DHHStabletext"/>
            </w:pPr>
            <w:r>
              <w:t>Phase 2</w:t>
            </w:r>
          </w:p>
        </w:tc>
        <w:tc>
          <w:tcPr>
            <w:tcW w:w="6004" w:type="dxa"/>
          </w:tcPr>
          <w:p w14:paraId="7F8B9282"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1FB42D4F"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D6D3541" w14:textId="062BE45A" w:rsidR="00F519FA" w:rsidRDefault="00F519FA" w:rsidP="00F519FA">
            <w:pPr>
              <w:pStyle w:val="DHHStabletext"/>
            </w:pPr>
            <w:r>
              <w:t>Remediation strategy</w:t>
            </w:r>
          </w:p>
        </w:tc>
        <w:tc>
          <w:tcPr>
            <w:tcW w:w="6004" w:type="dxa"/>
          </w:tcPr>
          <w:p w14:paraId="51A0C50C"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202A7A78" w14:textId="6EE53C13" w:rsidR="00F519FA" w:rsidRDefault="00F519FA" w:rsidP="00F519FA">
      <w:pPr>
        <w:pStyle w:val="Heading3"/>
      </w:pPr>
      <w:r>
        <w:t>Town planning assessment</w:t>
      </w:r>
    </w:p>
    <w:tbl>
      <w:tblPr>
        <w:tblStyle w:val="TableGrid"/>
        <w:tblW w:w="0" w:type="auto"/>
        <w:tblLook w:val="04A0" w:firstRow="1" w:lastRow="0" w:firstColumn="1" w:lastColumn="0" w:noHBand="0" w:noVBand="1"/>
      </w:tblPr>
      <w:tblGrid>
        <w:gridCol w:w="3330"/>
        <w:gridCol w:w="5850"/>
      </w:tblGrid>
      <w:tr w:rsidR="00F519FA" w:rsidRPr="003B10A0" w14:paraId="7AAFF040"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8A91993" w14:textId="1EF7A693" w:rsidR="00F519FA" w:rsidRPr="003B10A0" w:rsidRDefault="00F519FA" w:rsidP="00F519FA">
            <w:pPr>
              <w:pStyle w:val="DHHStablecolhead"/>
            </w:pPr>
            <w:r w:rsidRPr="003B10A0">
              <w:t>Question</w:t>
            </w:r>
            <w:r>
              <w:t xml:space="preserve"> or action</w:t>
            </w:r>
          </w:p>
        </w:tc>
        <w:tc>
          <w:tcPr>
            <w:tcW w:w="6004" w:type="dxa"/>
          </w:tcPr>
          <w:p w14:paraId="2A46D6EC"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157980F3"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4AA0C342" w14:textId="77777777" w:rsidR="00F519FA" w:rsidRPr="003B10A0" w:rsidRDefault="00F519FA" w:rsidP="00F519FA">
            <w:pPr>
              <w:pStyle w:val="DHHStabletext"/>
            </w:pPr>
            <w:r w:rsidRPr="003B10A0">
              <w:t>Required? (Yes or No)</w:t>
            </w:r>
          </w:p>
        </w:tc>
        <w:tc>
          <w:tcPr>
            <w:tcW w:w="6004" w:type="dxa"/>
          </w:tcPr>
          <w:p w14:paraId="146F8622"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3BC80001"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71549F66" w14:textId="683CB53D" w:rsidR="00F519FA" w:rsidRPr="003B10A0" w:rsidRDefault="00F519FA" w:rsidP="00F519FA">
            <w:pPr>
              <w:pStyle w:val="DHHStabletext"/>
            </w:pPr>
            <w:r>
              <w:t>Current zone</w:t>
            </w:r>
          </w:p>
        </w:tc>
        <w:tc>
          <w:tcPr>
            <w:tcW w:w="6004" w:type="dxa"/>
          </w:tcPr>
          <w:p w14:paraId="567403F0"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5F837C9F"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2B4FCD6" w14:textId="3D5E0D94" w:rsidR="00F519FA" w:rsidRPr="003B10A0" w:rsidRDefault="00F519FA" w:rsidP="00F519FA">
            <w:pPr>
              <w:pStyle w:val="DHHStabletext"/>
            </w:pPr>
            <w:r>
              <w:t>Rezoning required?</w:t>
            </w:r>
          </w:p>
        </w:tc>
        <w:tc>
          <w:tcPr>
            <w:tcW w:w="6004" w:type="dxa"/>
          </w:tcPr>
          <w:p w14:paraId="74544261"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46B52E8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C66B91D" w14:textId="7DE7512B" w:rsidR="00F519FA" w:rsidRDefault="00F519FA" w:rsidP="00F519FA">
            <w:pPr>
              <w:pStyle w:val="DHHStabletext"/>
            </w:pPr>
            <w:r>
              <w:t>Proposed zone</w:t>
            </w:r>
          </w:p>
        </w:tc>
        <w:tc>
          <w:tcPr>
            <w:tcW w:w="6004" w:type="dxa"/>
          </w:tcPr>
          <w:p w14:paraId="4BD85EAF"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1FD04CC6"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434AC20" w14:textId="0D416A9E" w:rsidR="00F519FA" w:rsidRDefault="00F519FA" w:rsidP="00F519FA">
            <w:pPr>
              <w:pStyle w:val="DHHStabletext"/>
            </w:pPr>
            <w:r>
              <w:t>Date effected</w:t>
            </w:r>
          </w:p>
        </w:tc>
        <w:tc>
          <w:tcPr>
            <w:tcW w:w="6004" w:type="dxa"/>
          </w:tcPr>
          <w:p w14:paraId="43BC09C9"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09AF1F61" w14:textId="1661D171" w:rsidR="00F519FA" w:rsidRDefault="00F519FA" w:rsidP="00F519FA">
      <w:pPr>
        <w:pStyle w:val="Heading3"/>
      </w:pPr>
      <w:r>
        <w:t>Heritage assessment</w:t>
      </w:r>
    </w:p>
    <w:tbl>
      <w:tblPr>
        <w:tblStyle w:val="TableGrid"/>
        <w:tblW w:w="0" w:type="auto"/>
        <w:tblLook w:val="04A0" w:firstRow="1" w:lastRow="0" w:firstColumn="1" w:lastColumn="0" w:noHBand="0" w:noVBand="1"/>
      </w:tblPr>
      <w:tblGrid>
        <w:gridCol w:w="3884"/>
        <w:gridCol w:w="5296"/>
      </w:tblGrid>
      <w:tr w:rsidR="00F519FA" w:rsidRPr="003B10A0" w14:paraId="7DD0DBEE"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1E538184" w14:textId="4A12192D" w:rsidR="00F519FA" w:rsidRPr="003B10A0" w:rsidRDefault="00F519FA" w:rsidP="00F519FA">
            <w:pPr>
              <w:pStyle w:val="DHHStablecolhead"/>
            </w:pPr>
            <w:r w:rsidRPr="003B10A0">
              <w:t>Question</w:t>
            </w:r>
            <w:r>
              <w:t xml:space="preserve"> or action</w:t>
            </w:r>
          </w:p>
        </w:tc>
        <w:tc>
          <w:tcPr>
            <w:tcW w:w="5437" w:type="dxa"/>
          </w:tcPr>
          <w:p w14:paraId="049C5E0D"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516BDB2D" w14:textId="77777777" w:rsidTr="00577484">
        <w:tc>
          <w:tcPr>
            <w:cnfStyle w:val="001000000000" w:firstRow="0" w:lastRow="0" w:firstColumn="1" w:lastColumn="0" w:oddVBand="0" w:evenVBand="0" w:oddHBand="0" w:evenHBand="0" w:firstRowFirstColumn="0" w:firstRowLastColumn="0" w:lastRowFirstColumn="0" w:lastRowLastColumn="0"/>
            <w:tcW w:w="3969" w:type="dxa"/>
          </w:tcPr>
          <w:p w14:paraId="5092370A" w14:textId="77777777" w:rsidR="00F519FA" w:rsidRPr="003B10A0" w:rsidRDefault="00F519FA" w:rsidP="00F519FA">
            <w:pPr>
              <w:pStyle w:val="DHHStabletext"/>
            </w:pPr>
            <w:r w:rsidRPr="003B10A0">
              <w:t>Required? (Yes or No)</w:t>
            </w:r>
          </w:p>
        </w:tc>
        <w:tc>
          <w:tcPr>
            <w:tcW w:w="5437" w:type="dxa"/>
          </w:tcPr>
          <w:p w14:paraId="145664F6"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4CA509A9" w14:textId="77777777" w:rsidTr="00577484">
        <w:tc>
          <w:tcPr>
            <w:cnfStyle w:val="001000000000" w:firstRow="0" w:lastRow="0" w:firstColumn="1" w:lastColumn="0" w:oddVBand="0" w:evenVBand="0" w:oddHBand="0" w:evenHBand="0" w:firstRowFirstColumn="0" w:firstRowLastColumn="0" w:lastRowFirstColumn="0" w:lastRowLastColumn="0"/>
            <w:tcW w:w="3969" w:type="dxa"/>
          </w:tcPr>
          <w:p w14:paraId="31C434D3" w14:textId="6386F75D" w:rsidR="00F519FA" w:rsidRPr="003B10A0" w:rsidRDefault="00F519FA" w:rsidP="00F519FA">
            <w:pPr>
              <w:pStyle w:val="DHHStabletext"/>
            </w:pPr>
            <w:r>
              <w:t>Listed on Victorian Heritage Register?</w:t>
            </w:r>
          </w:p>
        </w:tc>
        <w:tc>
          <w:tcPr>
            <w:tcW w:w="5437" w:type="dxa"/>
          </w:tcPr>
          <w:p w14:paraId="4F2B5692"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480F0D7D" w14:textId="77777777" w:rsidTr="00577484">
        <w:tc>
          <w:tcPr>
            <w:cnfStyle w:val="001000000000" w:firstRow="0" w:lastRow="0" w:firstColumn="1" w:lastColumn="0" w:oddVBand="0" w:evenVBand="0" w:oddHBand="0" w:evenHBand="0" w:firstRowFirstColumn="0" w:firstRowLastColumn="0" w:lastRowFirstColumn="0" w:lastRowLastColumn="0"/>
            <w:tcW w:w="3969" w:type="dxa"/>
          </w:tcPr>
          <w:p w14:paraId="72708470" w14:textId="0ADE0A78" w:rsidR="00F519FA" w:rsidRPr="003B10A0" w:rsidRDefault="00F519FA" w:rsidP="00F519FA">
            <w:pPr>
              <w:pStyle w:val="DHHStabletext"/>
            </w:pPr>
            <w:r>
              <w:t>Local heritage overlay</w:t>
            </w:r>
          </w:p>
        </w:tc>
        <w:tc>
          <w:tcPr>
            <w:tcW w:w="5437" w:type="dxa"/>
          </w:tcPr>
          <w:p w14:paraId="6195BA0A"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58D63BF0" w14:textId="77777777" w:rsidTr="00577484">
        <w:tc>
          <w:tcPr>
            <w:cnfStyle w:val="001000000000" w:firstRow="0" w:lastRow="0" w:firstColumn="1" w:lastColumn="0" w:oddVBand="0" w:evenVBand="0" w:oddHBand="0" w:evenHBand="0" w:firstRowFirstColumn="0" w:firstRowLastColumn="0" w:lastRowFirstColumn="0" w:lastRowLastColumn="0"/>
            <w:tcW w:w="3969" w:type="dxa"/>
          </w:tcPr>
          <w:p w14:paraId="69CDB143" w14:textId="4A4D7770" w:rsidR="002418AE" w:rsidRDefault="002418AE" w:rsidP="00F519FA">
            <w:pPr>
              <w:pStyle w:val="DHHStabletext"/>
            </w:pPr>
            <w:r>
              <w:t>Conservation management plan required?</w:t>
            </w:r>
          </w:p>
        </w:tc>
        <w:tc>
          <w:tcPr>
            <w:tcW w:w="5437" w:type="dxa"/>
          </w:tcPr>
          <w:p w14:paraId="13164809" w14:textId="77777777" w:rsidR="002418AE" w:rsidRPr="003B10A0" w:rsidRDefault="002418AE"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3658A4A2" w14:textId="02776E64" w:rsidR="002418AE" w:rsidRDefault="002418AE" w:rsidP="002418AE">
      <w:pPr>
        <w:pStyle w:val="Heading3"/>
      </w:pPr>
      <w:r>
        <w:t>Demolition</w:t>
      </w:r>
    </w:p>
    <w:tbl>
      <w:tblPr>
        <w:tblStyle w:val="TableGrid"/>
        <w:tblW w:w="0" w:type="auto"/>
        <w:tblLook w:val="04A0" w:firstRow="1" w:lastRow="0" w:firstColumn="1" w:lastColumn="0" w:noHBand="0" w:noVBand="1"/>
      </w:tblPr>
      <w:tblGrid>
        <w:gridCol w:w="3331"/>
        <w:gridCol w:w="5849"/>
      </w:tblGrid>
      <w:tr w:rsidR="00B066B1" w:rsidRPr="003B10A0" w14:paraId="73F9E800" w14:textId="77777777" w:rsidTr="00B06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1B0AD0D" w14:textId="69A0A3FD" w:rsidR="002418AE" w:rsidRPr="003B10A0" w:rsidRDefault="002418AE" w:rsidP="004C1C7D">
            <w:pPr>
              <w:pStyle w:val="DHHStablecolhead"/>
            </w:pPr>
            <w:r w:rsidRPr="003B10A0">
              <w:t>Question</w:t>
            </w:r>
            <w:r>
              <w:t xml:space="preserve"> or action</w:t>
            </w:r>
          </w:p>
        </w:tc>
        <w:tc>
          <w:tcPr>
            <w:tcW w:w="6004" w:type="dxa"/>
          </w:tcPr>
          <w:p w14:paraId="71EB8929" w14:textId="77777777"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2563AE" w:rsidRPr="003B10A0" w14:paraId="59A86CB7"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55462D61" w14:textId="77777777" w:rsidR="002418AE" w:rsidRPr="003B10A0" w:rsidRDefault="002418AE" w:rsidP="004C1C7D">
            <w:pPr>
              <w:pStyle w:val="DHHStabletext"/>
            </w:pPr>
            <w:r w:rsidRPr="003B10A0">
              <w:t>Required? (Yes or No)</w:t>
            </w:r>
          </w:p>
        </w:tc>
        <w:tc>
          <w:tcPr>
            <w:tcW w:w="6004" w:type="dxa"/>
          </w:tcPr>
          <w:p w14:paraId="0047B2F1"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7D922B2D"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2D5F85EB" w14:textId="09CD4B15" w:rsidR="002418AE" w:rsidRPr="003B10A0" w:rsidRDefault="002418AE" w:rsidP="004C1C7D">
            <w:pPr>
              <w:pStyle w:val="DHHStabletext"/>
            </w:pPr>
            <w:r>
              <w:t>Consultant</w:t>
            </w:r>
          </w:p>
        </w:tc>
        <w:tc>
          <w:tcPr>
            <w:tcW w:w="6004" w:type="dxa"/>
          </w:tcPr>
          <w:p w14:paraId="44A15DA4"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7405E559"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6B8F4BF1" w14:textId="47090B95" w:rsidR="002418AE" w:rsidRPr="003B10A0" w:rsidRDefault="002418AE" w:rsidP="004C1C7D">
            <w:pPr>
              <w:pStyle w:val="DHHStabletext"/>
            </w:pPr>
            <w:r>
              <w:t>Cost</w:t>
            </w:r>
          </w:p>
        </w:tc>
        <w:tc>
          <w:tcPr>
            <w:tcW w:w="6004" w:type="dxa"/>
          </w:tcPr>
          <w:p w14:paraId="73613A49"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142A6C72"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64D554A" w14:textId="2F7C5A73" w:rsidR="002418AE" w:rsidRDefault="002418AE" w:rsidP="004C1C7D">
            <w:pPr>
              <w:pStyle w:val="DHHStabletext"/>
            </w:pPr>
            <w:r>
              <w:t>Date of completion</w:t>
            </w:r>
          </w:p>
        </w:tc>
        <w:tc>
          <w:tcPr>
            <w:tcW w:w="6004" w:type="dxa"/>
          </w:tcPr>
          <w:p w14:paraId="7FCDC5CE"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0104E254" w14:textId="482E7BCF" w:rsidR="002418AE" w:rsidRDefault="002418AE" w:rsidP="002418AE">
      <w:pPr>
        <w:pStyle w:val="Heading3"/>
      </w:pPr>
      <w:r>
        <w:t>Lease or licence</w:t>
      </w:r>
    </w:p>
    <w:tbl>
      <w:tblPr>
        <w:tblStyle w:val="TableGrid"/>
        <w:tblW w:w="0" w:type="auto"/>
        <w:tblLook w:val="04A0" w:firstRow="1" w:lastRow="0" w:firstColumn="1" w:lastColumn="0" w:noHBand="0" w:noVBand="1"/>
      </w:tblPr>
      <w:tblGrid>
        <w:gridCol w:w="3330"/>
        <w:gridCol w:w="5850"/>
      </w:tblGrid>
      <w:tr w:rsidR="00B066B1" w:rsidRPr="003B10A0" w14:paraId="6A4E886C" w14:textId="77777777" w:rsidTr="00B06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36B6D5C" w14:textId="77777777" w:rsidR="002418AE" w:rsidRPr="003B10A0" w:rsidRDefault="002418AE" w:rsidP="004C1C7D">
            <w:pPr>
              <w:pStyle w:val="DHHStablecolhead"/>
            </w:pPr>
            <w:r w:rsidRPr="003B10A0">
              <w:t>Question</w:t>
            </w:r>
          </w:p>
        </w:tc>
        <w:tc>
          <w:tcPr>
            <w:tcW w:w="6004" w:type="dxa"/>
          </w:tcPr>
          <w:p w14:paraId="3B4F3FC7" w14:textId="77777777"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2563AE" w:rsidRPr="003B10A0" w14:paraId="3C3D582C"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61D4988F" w14:textId="77777777" w:rsidR="002418AE" w:rsidRPr="003B10A0" w:rsidRDefault="002418AE" w:rsidP="004C1C7D">
            <w:pPr>
              <w:pStyle w:val="DHHStabletext"/>
            </w:pPr>
            <w:r w:rsidRPr="003B10A0">
              <w:t>Required? (Yes or No)</w:t>
            </w:r>
          </w:p>
        </w:tc>
        <w:tc>
          <w:tcPr>
            <w:tcW w:w="6004" w:type="dxa"/>
          </w:tcPr>
          <w:p w14:paraId="33ED936C"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2A80534A"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186C63D5" w14:textId="61D74A1B" w:rsidR="002418AE" w:rsidRPr="003B10A0" w:rsidRDefault="002418AE" w:rsidP="004C1C7D">
            <w:pPr>
              <w:pStyle w:val="DHHStabletext"/>
            </w:pPr>
            <w:r>
              <w:t>Lease type</w:t>
            </w:r>
          </w:p>
        </w:tc>
        <w:tc>
          <w:tcPr>
            <w:tcW w:w="6004" w:type="dxa"/>
          </w:tcPr>
          <w:p w14:paraId="113E9FAC"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77E5F8D3"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18081481" w14:textId="74BBBE41" w:rsidR="002418AE" w:rsidRPr="003B10A0" w:rsidRDefault="002418AE" w:rsidP="004C1C7D">
            <w:pPr>
              <w:pStyle w:val="DHHStabletext"/>
            </w:pPr>
            <w:r>
              <w:t>Term</w:t>
            </w:r>
          </w:p>
        </w:tc>
        <w:tc>
          <w:tcPr>
            <w:tcW w:w="6004" w:type="dxa"/>
          </w:tcPr>
          <w:p w14:paraId="09074B72"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418AE" w:rsidRPr="003B10A0" w14:paraId="5F4C9FBE"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C85F430" w14:textId="7393EE0E" w:rsidR="002418AE" w:rsidRDefault="002418AE" w:rsidP="004C1C7D">
            <w:pPr>
              <w:pStyle w:val="DHHStabletext"/>
            </w:pPr>
            <w:r>
              <w:t>Date cancelled</w:t>
            </w:r>
          </w:p>
        </w:tc>
        <w:tc>
          <w:tcPr>
            <w:tcW w:w="6004" w:type="dxa"/>
          </w:tcPr>
          <w:p w14:paraId="79F5A1C9"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3804A988" w14:textId="3519D60E" w:rsidR="002418AE" w:rsidRDefault="002418AE" w:rsidP="002418AE">
      <w:pPr>
        <w:pStyle w:val="Heading3"/>
      </w:pPr>
      <w:r>
        <w:lastRenderedPageBreak/>
        <w:t>Other due diligence</w:t>
      </w:r>
    </w:p>
    <w:tbl>
      <w:tblPr>
        <w:tblStyle w:val="TableGrid"/>
        <w:tblW w:w="0" w:type="auto"/>
        <w:tblLook w:val="04A0" w:firstRow="1" w:lastRow="0" w:firstColumn="1" w:lastColumn="0" w:noHBand="0" w:noVBand="1"/>
      </w:tblPr>
      <w:tblGrid>
        <w:gridCol w:w="3330"/>
        <w:gridCol w:w="5850"/>
      </w:tblGrid>
      <w:tr w:rsidR="00B066B1" w:rsidRPr="003B10A0" w14:paraId="29C2C8EB" w14:textId="77777777" w:rsidTr="00B06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25E89C6D" w14:textId="77777777" w:rsidR="002418AE" w:rsidRPr="003B10A0" w:rsidRDefault="002418AE" w:rsidP="004C1C7D">
            <w:pPr>
              <w:pStyle w:val="DHHStablecolhead"/>
            </w:pPr>
            <w:r w:rsidRPr="003B10A0">
              <w:t>Question</w:t>
            </w:r>
          </w:p>
        </w:tc>
        <w:tc>
          <w:tcPr>
            <w:tcW w:w="6004" w:type="dxa"/>
          </w:tcPr>
          <w:p w14:paraId="67C5C927" w14:textId="77777777" w:rsidR="002418AE" w:rsidRPr="003B10A0" w:rsidRDefault="002418AE" w:rsidP="004C1C7D">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2563AE" w:rsidRPr="003B10A0" w14:paraId="48D93F1A"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30A29A7E" w14:textId="77777777" w:rsidR="002418AE" w:rsidRPr="003B10A0" w:rsidRDefault="002418AE" w:rsidP="004C1C7D">
            <w:pPr>
              <w:pStyle w:val="DHHStabletext"/>
            </w:pPr>
            <w:r w:rsidRPr="003B10A0">
              <w:t>Required? (Yes or No)</w:t>
            </w:r>
          </w:p>
        </w:tc>
        <w:tc>
          <w:tcPr>
            <w:tcW w:w="6004" w:type="dxa"/>
          </w:tcPr>
          <w:p w14:paraId="690D934F"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r w:rsidR="002563AE" w:rsidRPr="003B10A0" w14:paraId="08F1EC5C" w14:textId="77777777" w:rsidTr="00B066B1">
        <w:tc>
          <w:tcPr>
            <w:cnfStyle w:val="001000000000" w:firstRow="0" w:lastRow="0" w:firstColumn="1" w:lastColumn="0" w:oddVBand="0" w:evenVBand="0" w:oddHBand="0" w:evenHBand="0" w:firstRowFirstColumn="0" w:firstRowLastColumn="0" w:lastRowFirstColumn="0" w:lastRowLastColumn="0"/>
            <w:tcW w:w="3402" w:type="dxa"/>
          </w:tcPr>
          <w:p w14:paraId="51569685" w14:textId="3F411C74" w:rsidR="002418AE" w:rsidRPr="003B10A0" w:rsidRDefault="002418AE" w:rsidP="004C1C7D">
            <w:pPr>
              <w:pStyle w:val="DHHStabletext"/>
            </w:pPr>
            <w:r>
              <w:t>Details</w:t>
            </w:r>
          </w:p>
        </w:tc>
        <w:tc>
          <w:tcPr>
            <w:tcW w:w="6004" w:type="dxa"/>
          </w:tcPr>
          <w:p w14:paraId="01D95080" w14:textId="77777777" w:rsidR="002418AE" w:rsidRPr="003B10A0" w:rsidRDefault="002418AE" w:rsidP="004C1C7D">
            <w:pPr>
              <w:pStyle w:val="DHHStabletext"/>
              <w:cnfStyle w:val="000000000000" w:firstRow="0" w:lastRow="0" w:firstColumn="0" w:lastColumn="0" w:oddVBand="0" w:evenVBand="0" w:oddHBand="0" w:evenHBand="0" w:firstRowFirstColumn="0" w:firstRowLastColumn="0" w:lastRowFirstColumn="0" w:lastRowLastColumn="0"/>
            </w:pPr>
          </w:p>
        </w:tc>
      </w:tr>
    </w:tbl>
    <w:p w14:paraId="6D881F18" w14:textId="0E02A82B" w:rsidR="005E7112" w:rsidRDefault="005E7112" w:rsidP="00577484">
      <w:pPr>
        <w:pStyle w:val="AppendixHeading2"/>
      </w:pPr>
      <w:r>
        <w:t xml:space="preserve">Government </w:t>
      </w:r>
      <w:r w:rsidR="00EE6154">
        <w:t>r</w:t>
      </w:r>
      <w:r>
        <w:t>equirements</w:t>
      </w:r>
    </w:p>
    <w:p w14:paraId="5C354E34" w14:textId="57FA3AB9" w:rsidR="00EE6154" w:rsidRDefault="00EE6154" w:rsidP="00577484">
      <w:pPr>
        <w:pStyle w:val="Heading3"/>
      </w:pPr>
      <w:r>
        <w:t>Approval or authority</w:t>
      </w:r>
    </w:p>
    <w:tbl>
      <w:tblPr>
        <w:tblStyle w:val="TableGrid"/>
        <w:tblW w:w="0" w:type="auto"/>
        <w:tblLook w:val="04A0" w:firstRow="1" w:lastRow="0" w:firstColumn="1" w:lastColumn="0" w:noHBand="0" w:noVBand="1"/>
      </w:tblPr>
      <w:tblGrid>
        <w:gridCol w:w="3331"/>
        <w:gridCol w:w="5849"/>
      </w:tblGrid>
      <w:tr w:rsidR="00EE6154" w:rsidRPr="003B10A0" w14:paraId="2DE1DDB6"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02E34D25" w14:textId="77777777" w:rsidR="00EE6154" w:rsidRPr="003B10A0" w:rsidRDefault="00EE6154" w:rsidP="00F519FA">
            <w:pPr>
              <w:pStyle w:val="DHHStablecolhead"/>
            </w:pPr>
            <w:r w:rsidRPr="003B10A0">
              <w:t>Question</w:t>
            </w:r>
          </w:p>
        </w:tc>
        <w:tc>
          <w:tcPr>
            <w:tcW w:w="6004" w:type="dxa"/>
          </w:tcPr>
          <w:p w14:paraId="65133B96" w14:textId="77777777" w:rsidR="00EE6154" w:rsidRPr="003B10A0" w:rsidRDefault="00EE6154"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EE6154" w:rsidRPr="003B10A0" w14:paraId="5E9EB811"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4D034F08" w14:textId="77777777" w:rsidR="00EE6154" w:rsidRPr="003B10A0" w:rsidRDefault="00EE6154" w:rsidP="00F519FA">
            <w:pPr>
              <w:pStyle w:val="DHHStabletext"/>
            </w:pPr>
            <w:r w:rsidRPr="003B10A0">
              <w:t>Required? (Yes or No)</w:t>
            </w:r>
          </w:p>
        </w:tc>
        <w:tc>
          <w:tcPr>
            <w:tcW w:w="6004" w:type="dxa"/>
          </w:tcPr>
          <w:p w14:paraId="12FBBD6D"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5BE79E31"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A084A3B" w14:textId="77777777" w:rsidR="00EE6154" w:rsidRPr="003B10A0" w:rsidRDefault="00EE6154" w:rsidP="00F519FA">
            <w:pPr>
              <w:pStyle w:val="DHHStabletext"/>
            </w:pPr>
            <w:r w:rsidRPr="003B10A0">
              <w:t>Ministerial, Secretary or Board?</w:t>
            </w:r>
          </w:p>
        </w:tc>
        <w:tc>
          <w:tcPr>
            <w:tcW w:w="6004" w:type="dxa"/>
          </w:tcPr>
          <w:p w14:paraId="7B147C0B"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785CE874"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FACA2BA" w14:textId="77777777" w:rsidR="00EE6154" w:rsidRPr="003B10A0" w:rsidRDefault="00EE6154" w:rsidP="00F519FA">
            <w:pPr>
              <w:pStyle w:val="DHHStabletext"/>
            </w:pPr>
            <w:r w:rsidRPr="003B10A0">
              <w:t>Date of approval</w:t>
            </w:r>
          </w:p>
        </w:tc>
        <w:tc>
          <w:tcPr>
            <w:tcW w:w="6004" w:type="dxa"/>
          </w:tcPr>
          <w:p w14:paraId="7CEBAD1B"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5ED2140C" w14:textId="41C8FE85" w:rsidR="00EE6154" w:rsidRDefault="00EE6154" w:rsidP="00EE6154">
      <w:pPr>
        <w:pStyle w:val="Heading3"/>
      </w:pPr>
      <w:r>
        <w:t>Valuation</w:t>
      </w:r>
    </w:p>
    <w:tbl>
      <w:tblPr>
        <w:tblStyle w:val="TableGrid"/>
        <w:tblW w:w="0" w:type="auto"/>
        <w:tblLook w:val="04A0" w:firstRow="1" w:lastRow="0" w:firstColumn="1" w:lastColumn="0" w:noHBand="0" w:noVBand="1"/>
      </w:tblPr>
      <w:tblGrid>
        <w:gridCol w:w="3330"/>
        <w:gridCol w:w="5850"/>
      </w:tblGrid>
      <w:tr w:rsidR="00EE6154" w:rsidRPr="003B10A0" w14:paraId="163B112F"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C580360" w14:textId="77777777" w:rsidR="00EE6154" w:rsidRPr="003B10A0" w:rsidRDefault="00EE6154" w:rsidP="00F519FA">
            <w:pPr>
              <w:pStyle w:val="DHHStablecolhead"/>
            </w:pPr>
            <w:r w:rsidRPr="003B10A0">
              <w:t>Question</w:t>
            </w:r>
          </w:p>
        </w:tc>
        <w:tc>
          <w:tcPr>
            <w:tcW w:w="6004" w:type="dxa"/>
          </w:tcPr>
          <w:p w14:paraId="17864CC0" w14:textId="77777777" w:rsidR="00EE6154" w:rsidRPr="003B10A0" w:rsidRDefault="00EE6154"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EE6154" w:rsidRPr="003B10A0" w14:paraId="729F0ADB"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730EEAB9" w14:textId="77777777" w:rsidR="00EE6154" w:rsidRPr="003B10A0" w:rsidRDefault="00EE6154" w:rsidP="00F519FA">
            <w:pPr>
              <w:pStyle w:val="DHHStabletext"/>
            </w:pPr>
            <w:r w:rsidRPr="003B10A0">
              <w:t>Required? (Yes or No)</w:t>
            </w:r>
          </w:p>
        </w:tc>
        <w:tc>
          <w:tcPr>
            <w:tcW w:w="6004" w:type="dxa"/>
          </w:tcPr>
          <w:p w14:paraId="1E4FB352"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24EAC284"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A706AFE" w14:textId="5659F92F" w:rsidR="00EE6154" w:rsidRPr="003B10A0" w:rsidRDefault="00EE6154" w:rsidP="00F519FA">
            <w:pPr>
              <w:pStyle w:val="DHHStabletext"/>
            </w:pPr>
            <w:r>
              <w:t>Valuer</w:t>
            </w:r>
          </w:p>
        </w:tc>
        <w:tc>
          <w:tcPr>
            <w:tcW w:w="6004" w:type="dxa"/>
          </w:tcPr>
          <w:p w14:paraId="25C580CB"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54896F37"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D350277" w14:textId="0F90D92C" w:rsidR="00EE6154" w:rsidRPr="003B10A0" w:rsidRDefault="00EE6154" w:rsidP="00F519FA">
            <w:pPr>
              <w:pStyle w:val="DHHStabletext"/>
            </w:pPr>
            <w:r w:rsidRPr="003B10A0">
              <w:t xml:space="preserve">Date of </w:t>
            </w:r>
            <w:r>
              <w:t>valuation</w:t>
            </w:r>
          </w:p>
        </w:tc>
        <w:tc>
          <w:tcPr>
            <w:tcW w:w="6004" w:type="dxa"/>
          </w:tcPr>
          <w:p w14:paraId="55AC7821"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2B6CF408"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7331E656" w14:textId="719D7C9D" w:rsidR="00EE6154" w:rsidRPr="003B10A0" w:rsidRDefault="00EE6154" w:rsidP="00F519FA">
            <w:pPr>
              <w:pStyle w:val="DHHStabletext"/>
            </w:pPr>
            <w:r>
              <w:t>Valuation amount</w:t>
            </w:r>
          </w:p>
        </w:tc>
        <w:tc>
          <w:tcPr>
            <w:tcW w:w="6004" w:type="dxa"/>
          </w:tcPr>
          <w:p w14:paraId="5C5E5EF0"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41C287B3" w14:textId="2CD1AC23" w:rsidR="00EE6154" w:rsidRDefault="00EE6154" w:rsidP="00EE6154">
      <w:pPr>
        <w:pStyle w:val="Heading3"/>
      </w:pPr>
      <w:r>
        <w:t>Check valuation – required above $750,000</w:t>
      </w:r>
    </w:p>
    <w:tbl>
      <w:tblPr>
        <w:tblStyle w:val="TableGrid"/>
        <w:tblW w:w="0" w:type="auto"/>
        <w:tblLook w:val="04A0" w:firstRow="1" w:lastRow="0" w:firstColumn="1" w:lastColumn="0" w:noHBand="0" w:noVBand="1"/>
      </w:tblPr>
      <w:tblGrid>
        <w:gridCol w:w="3330"/>
        <w:gridCol w:w="5850"/>
      </w:tblGrid>
      <w:tr w:rsidR="00EE6154" w:rsidRPr="003B10A0" w14:paraId="4BA6EE75"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EDCB0D2" w14:textId="77777777" w:rsidR="00EE6154" w:rsidRPr="003B10A0" w:rsidRDefault="00EE6154" w:rsidP="00F519FA">
            <w:pPr>
              <w:pStyle w:val="DHHStablecolhead"/>
            </w:pPr>
            <w:r w:rsidRPr="003B10A0">
              <w:t>Question</w:t>
            </w:r>
          </w:p>
        </w:tc>
        <w:tc>
          <w:tcPr>
            <w:tcW w:w="6004" w:type="dxa"/>
          </w:tcPr>
          <w:p w14:paraId="53785D7A" w14:textId="77777777" w:rsidR="00EE6154" w:rsidRPr="003B10A0" w:rsidRDefault="00EE6154"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EE6154" w:rsidRPr="003B10A0" w14:paraId="0810A454"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E16CFE0" w14:textId="77777777" w:rsidR="00EE6154" w:rsidRPr="003B10A0" w:rsidRDefault="00EE6154" w:rsidP="00F519FA">
            <w:pPr>
              <w:pStyle w:val="DHHStabletext"/>
            </w:pPr>
            <w:r w:rsidRPr="003B10A0">
              <w:t>Required? (Yes or No)</w:t>
            </w:r>
          </w:p>
        </w:tc>
        <w:tc>
          <w:tcPr>
            <w:tcW w:w="6004" w:type="dxa"/>
          </w:tcPr>
          <w:p w14:paraId="2C31A842"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2E0F560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17CCE69" w14:textId="55F32012" w:rsidR="00EE6154" w:rsidRPr="003B10A0" w:rsidRDefault="00EE6154" w:rsidP="00F519FA">
            <w:pPr>
              <w:pStyle w:val="DHHStabletext"/>
            </w:pPr>
            <w:r>
              <w:t>Valuer</w:t>
            </w:r>
          </w:p>
        </w:tc>
        <w:tc>
          <w:tcPr>
            <w:tcW w:w="6004" w:type="dxa"/>
          </w:tcPr>
          <w:p w14:paraId="2C0745D9"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1DC222D5"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D64E2E4" w14:textId="063BE728" w:rsidR="00EE6154" w:rsidRPr="003B10A0" w:rsidRDefault="00EE6154" w:rsidP="00F519FA">
            <w:pPr>
              <w:pStyle w:val="DHHStabletext"/>
            </w:pPr>
            <w:r w:rsidRPr="003B10A0">
              <w:t xml:space="preserve">Date of </w:t>
            </w:r>
            <w:r>
              <w:t>valuation</w:t>
            </w:r>
          </w:p>
        </w:tc>
        <w:tc>
          <w:tcPr>
            <w:tcW w:w="6004" w:type="dxa"/>
          </w:tcPr>
          <w:p w14:paraId="4260FC76"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54AD74B3"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AC510E4" w14:textId="53E5DA63" w:rsidR="00EE6154" w:rsidRPr="003B10A0" w:rsidRDefault="00EE6154" w:rsidP="00F519FA">
            <w:pPr>
              <w:pStyle w:val="DHHStabletext"/>
            </w:pPr>
            <w:r>
              <w:t>Valuation amount</w:t>
            </w:r>
          </w:p>
        </w:tc>
        <w:tc>
          <w:tcPr>
            <w:tcW w:w="6004" w:type="dxa"/>
          </w:tcPr>
          <w:p w14:paraId="4525C2C2"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33F7EBB2" w14:textId="7E50EA71" w:rsidR="00EE6154" w:rsidRDefault="00EE6154" w:rsidP="00EE6154">
      <w:pPr>
        <w:pStyle w:val="Heading3"/>
      </w:pPr>
      <w:r>
        <w:t>Government Land Monitor – required above $750,000</w:t>
      </w:r>
    </w:p>
    <w:tbl>
      <w:tblPr>
        <w:tblStyle w:val="TableGrid"/>
        <w:tblW w:w="0" w:type="auto"/>
        <w:tblLook w:val="04A0" w:firstRow="1" w:lastRow="0" w:firstColumn="1" w:lastColumn="0" w:noHBand="0" w:noVBand="1"/>
      </w:tblPr>
      <w:tblGrid>
        <w:gridCol w:w="3335"/>
        <w:gridCol w:w="5845"/>
      </w:tblGrid>
      <w:tr w:rsidR="00EE6154" w:rsidRPr="003B10A0" w14:paraId="7A90EF63"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4919DC70" w14:textId="77777777" w:rsidR="00EE6154" w:rsidRPr="003B10A0" w:rsidRDefault="00EE6154" w:rsidP="00F519FA">
            <w:pPr>
              <w:pStyle w:val="DHHStablecolhead"/>
            </w:pPr>
            <w:r w:rsidRPr="003B10A0">
              <w:t>Question</w:t>
            </w:r>
          </w:p>
        </w:tc>
        <w:tc>
          <w:tcPr>
            <w:tcW w:w="6004" w:type="dxa"/>
          </w:tcPr>
          <w:p w14:paraId="002A8730" w14:textId="77777777" w:rsidR="00EE6154" w:rsidRPr="003B10A0" w:rsidRDefault="00EE6154"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EE6154" w:rsidRPr="003B10A0" w14:paraId="176350CB"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53C9697" w14:textId="77777777" w:rsidR="00EE6154" w:rsidRPr="003B10A0" w:rsidRDefault="00EE6154" w:rsidP="00F519FA">
            <w:pPr>
              <w:pStyle w:val="DHHStabletext"/>
            </w:pPr>
            <w:r w:rsidRPr="003B10A0">
              <w:t>Required? (Yes or No)</w:t>
            </w:r>
          </w:p>
        </w:tc>
        <w:tc>
          <w:tcPr>
            <w:tcW w:w="6004" w:type="dxa"/>
          </w:tcPr>
          <w:p w14:paraId="2069D6D4"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252BB33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81F440D" w14:textId="6D921046" w:rsidR="00EE6154" w:rsidRPr="003B10A0" w:rsidRDefault="00EE6154" w:rsidP="00F519FA">
            <w:pPr>
              <w:pStyle w:val="DHHStabletext"/>
            </w:pPr>
            <w:r>
              <w:t>Date file submitted for endorsement</w:t>
            </w:r>
          </w:p>
        </w:tc>
        <w:tc>
          <w:tcPr>
            <w:tcW w:w="6004" w:type="dxa"/>
          </w:tcPr>
          <w:p w14:paraId="42828B6D"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09B330C5"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887C816" w14:textId="77777777" w:rsidR="00EE6154" w:rsidRPr="003B10A0" w:rsidRDefault="00EE6154" w:rsidP="00F519FA">
            <w:pPr>
              <w:pStyle w:val="DHHStabletext"/>
            </w:pPr>
            <w:r w:rsidRPr="003B10A0">
              <w:t>Date of approval</w:t>
            </w:r>
          </w:p>
        </w:tc>
        <w:tc>
          <w:tcPr>
            <w:tcW w:w="6004" w:type="dxa"/>
          </w:tcPr>
          <w:p w14:paraId="2C13ABD1"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178745C4" w14:textId="074BF3EC" w:rsidR="00EE6154" w:rsidRDefault="00EE6154" w:rsidP="00EE6154">
      <w:pPr>
        <w:pStyle w:val="Heading3"/>
      </w:pPr>
      <w:r>
        <w:t>Contract publishing system</w:t>
      </w:r>
    </w:p>
    <w:p w14:paraId="07D94A21" w14:textId="643C9ACC" w:rsidR="00EE6154" w:rsidRPr="00577484" w:rsidRDefault="00EE6154" w:rsidP="00577484">
      <w:pPr>
        <w:pStyle w:val="DHHSbody"/>
      </w:pPr>
      <w:r>
        <w:t>Contracts above $100,000</w:t>
      </w:r>
      <w:r w:rsidR="00F519FA">
        <w:t>; full disclosure of contracts above $10 million.</w:t>
      </w:r>
    </w:p>
    <w:tbl>
      <w:tblPr>
        <w:tblStyle w:val="TableGrid"/>
        <w:tblW w:w="0" w:type="auto"/>
        <w:tblLook w:val="04A0" w:firstRow="1" w:lastRow="0" w:firstColumn="1" w:lastColumn="0" w:noHBand="0" w:noVBand="1"/>
      </w:tblPr>
      <w:tblGrid>
        <w:gridCol w:w="3333"/>
        <w:gridCol w:w="5847"/>
      </w:tblGrid>
      <w:tr w:rsidR="00EE6154" w:rsidRPr="003B10A0" w14:paraId="173E3E42"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B8C3F41" w14:textId="77777777" w:rsidR="00EE6154" w:rsidRPr="003B10A0" w:rsidRDefault="00EE6154" w:rsidP="00F519FA">
            <w:pPr>
              <w:pStyle w:val="DHHStablecolhead"/>
            </w:pPr>
            <w:r w:rsidRPr="003B10A0">
              <w:t>Question</w:t>
            </w:r>
          </w:p>
        </w:tc>
        <w:tc>
          <w:tcPr>
            <w:tcW w:w="6004" w:type="dxa"/>
          </w:tcPr>
          <w:p w14:paraId="0E636C4B" w14:textId="77777777" w:rsidR="00EE6154" w:rsidRPr="003B10A0" w:rsidRDefault="00EE6154"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EE6154" w:rsidRPr="003B10A0" w14:paraId="6990F2A9"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49E7289E" w14:textId="77777777" w:rsidR="00EE6154" w:rsidRPr="003B10A0" w:rsidRDefault="00EE6154" w:rsidP="00F519FA">
            <w:pPr>
              <w:pStyle w:val="DHHStabletext"/>
            </w:pPr>
            <w:r w:rsidRPr="003B10A0">
              <w:t>Required? (Yes or No)</w:t>
            </w:r>
          </w:p>
        </w:tc>
        <w:tc>
          <w:tcPr>
            <w:tcW w:w="6004" w:type="dxa"/>
          </w:tcPr>
          <w:p w14:paraId="440E098B"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EE6154" w:rsidRPr="003B10A0" w14:paraId="60A3EA41"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BAAFF97" w14:textId="60DCF3A2" w:rsidR="00EE6154" w:rsidRPr="003B10A0" w:rsidRDefault="00F519FA" w:rsidP="00F519FA">
            <w:pPr>
              <w:pStyle w:val="DHHStabletext"/>
            </w:pPr>
            <w:r>
              <w:lastRenderedPageBreak/>
              <w:t>Completed?</w:t>
            </w:r>
          </w:p>
        </w:tc>
        <w:tc>
          <w:tcPr>
            <w:tcW w:w="6004" w:type="dxa"/>
          </w:tcPr>
          <w:p w14:paraId="3A1C0977" w14:textId="77777777" w:rsidR="00EE6154" w:rsidRPr="003B10A0" w:rsidRDefault="00EE6154"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5F49E511" w14:textId="16FA2AA1" w:rsidR="005E7112" w:rsidRDefault="005E7112" w:rsidP="00577484">
      <w:pPr>
        <w:pStyle w:val="AppendixHeading2"/>
      </w:pPr>
      <w:r>
        <w:t xml:space="preserve">Transaction </w:t>
      </w:r>
      <w:r w:rsidR="00F519FA">
        <w:t>r</w:t>
      </w:r>
      <w:r>
        <w:t>equirements</w:t>
      </w:r>
    </w:p>
    <w:p w14:paraId="44F9C166" w14:textId="427993A5" w:rsidR="00F519FA" w:rsidRDefault="00F519FA" w:rsidP="00F519FA">
      <w:pPr>
        <w:pStyle w:val="Heading3"/>
      </w:pPr>
      <w:r>
        <w:t>Legal engagement</w:t>
      </w:r>
    </w:p>
    <w:tbl>
      <w:tblPr>
        <w:tblStyle w:val="TableGrid"/>
        <w:tblW w:w="0" w:type="auto"/>
        <w:tblLook w:val="04A0" w:firstRow="1" w:lastRow="0" w:firstColumn="1" w:lastColumn="0" w:noHBand="0" w:noVBand="1"/>
      </w:tblPr>
      <w:tblGrid>
        <w:gridCol w:w="3329"/>
        <w:gridCol w:w="5851"/>
      </w:tblGrid>
      <w:tr w:rsidR="00F519FA" w:rsidRPr="003B10A0" w14:paraId="43A1969A"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C7D4AE9" w14:textId="77777777" w:rsidR="00F519FA" w:rsidRPr="003B10A0" w:rsidRDefault="00F519FA" w:rsidP="00F519FA">
            <w:pPr>
              <w:pStyle w:val="DHHStablecolhead"/>
            </w:pPr>
            <w:r w:rsidRPr="003B10A0">
              <w:t>Question</w:t>
            </w:r>
          </w:p>
        </w:tc>
        <w:tc>
          <w:tcPr>
            <w:tcW w:w="6004" w:type="dxa"/>
          </w:tcPr>
          <w:p w14:paraId="2DAF92DB"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7D9AB340"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91B70E2" w14:textId="634051C3" w:rsidR="00F519FA" w:rsidRPr="003B10A0" w:rsidRDefault="00F519FA" w:rsidP="00F519FA">
            <w:pPr>
              <w:pStyle w:val="DHHStabletext"/>
            </w:pPr>
            <w:r>
              <w:t>Firm name</w:t>
            </w:r>
          </w:p>
        </w:tc>
        <w:tc>
          <w:tcPr>
            <w:tcW w:w="6004" w:type="dxa"/>
          </w:tcPr>
          <w:p w14:paraId="1CC646E6"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15AE1FBA"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2DBAC51" w14:textId="71E9CD8A" w:rsidR="00F519FA" w:rsidRPr="003B10A0" w:rsidRDefault="00F519FA" w:rsidP="00F519FA">
            <w:pPr>
              <w:pStyle w:val="DHHStabletext"/>
            </w:pPr>
            <w:r>
              <w:t>Legal fee ($)</w:t>
            </w:r>
          </w:p>
        </w:tc>
        <w:tc>
          <w:tcPr>
            <w:tcW w:w="6004" w:type="dxa"/>
          </w:tcPr>
          <w:p w14:paraId="306E61E3"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33C93016"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403E960" w14:textId="40A38587" w:rsidR="00F519FA" w:rsidRPr="003B10A0" w:rsidRDefault="00F519FA" w:rsidP="00F519FA">
            <w:pPr>
              <w:pStyle w:val="DHHStabletext"/>
            </w:pPr>
            <w:r>
              <w:t>Date contract finalised</w:t>
            </w:r>
          </w:p>
        </w:tc>
        <w:tc>
          <w:tcPr>
            <w:tcW w:w="6004" w:type="dxa"/>
          </w:tcPr>
          <w:p w14:paraId="351CFAAB"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01EBDD70" w14:textId="4728295A" w:rsidR="00F519FA" w:rsidRDefault="00F519FA" w:rsidP="00F519FA">
      <w:pPr>
        <w:pStyle w:val="Heading3"/>
      </w:pPr>
      <w:r>
        <w:t>Real estate agent</w:t>
      </w:r>
    </w:p>
    <w:tbl>
      <w:tblPr>
        <w:tblStyle w:val="TableGrid"/>
        <w:tblW w:w="0" w:type="auto"/>
        <w:tblLook w:val="04A0" w:firstRow="1" w:lastRow="0" w:firstColumn="1" w:lastColumn="0" w:noHBand="0" w:noVBand="1"/>
      </w:tblPr>
      <w:tblGrid>
        <w:gridCol w:w="3334"/>
        <w:gridCol w:w="5846"/>
      </w:tblGrid>
      <w:tr w:rsidR="00F519FA" w:rsidRPr="003B10A0" w14:paraId="69302BC0"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09AB787" w14:textId="70F90FAB" w:rsidR="00F519FA" w:rsidRPr="003B10A0" w:rsidRDefault="00F519FA" w:rsidP="00F519FA">
            <w:pPr>
              <w:pStyle w:val="DHHStablecolhead"/>
            </w:pPr>
            <w:r w:rsidRPr="003B10A0">
              <w:t>Question</w:t>
            </w:r>
            <w:r>
              <w:t xml:space="preserve"> or action</w:t>
            </w:r>
          </w:p>
        </w:tc>
        <w:tc>
          <w:tcPr>
            <w:tcW w:w="6004" w:type="dxa"/>
          </w:tcPr>
          <w:p w14:paraId="5A7F8578"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4DCBF22A"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780B58D0" w14:textId="42B75684" w:rsidR="00F519FA" w:rsidRPr="003B10A0" w:rsidRDefault="00F519FA" w:rsidP="00F519FA">
            <w:pPr>
              <w:pStyle w:val="DHHStabletext"/>
            </w:pPr>
            <w:r>
              <w:t>Real estate tender</w:t>
            </w:r>
          </w:p>
        </w:tc>
        <w:tc>
          <w:tcPr>
            <w:tcW w:w="6004" w:type="dxa"/>
          </w:tcPr>
          <w:p w14:paraId="665B0B43"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1F2D440E"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4161385" w14:textId="7A57A6D4" w:rsidR="00F519FA" w:rsidRPr="003B10A0" w:rsidRDefault="00F519FA" w:rsidP="00F519FA">
            <w:pPr>
              <w:pStyle w:val="DHHStabletext"/>
            </w:pPr>
            <w:r>
              <w:t>Appointment of agent</w:t>
            </w:r>
          </w:p>
        </w:tc>
        <w:tc>
          <w:tcPr>
            <w:tcW w:w="6004" w:type="dxa"/>
          </w:tcPr>
          <w:p w14:paraId="7DF79C1F"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446DB6A1"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6988B0E" w14:textId="0BB0BA91" w:rsidR="00F519FA" w:rsidRPr="003B10A0" w:rsidRDefault="00F519FA" w:rsidP="00F519FA">
            <w:pPr>
              <w:pStyle w:val="DHHStabletext"/>
            </w:pPr>
            <w:r>
              <w:t>Strategy auction or tender</w:t>
            </w:r>
          </w:p>
        </w:tc>
        <w:tc>
          <w:tcPr>
            <w:tcW w:w="6004" w:type="dxa"/>
          </w:tcPr>
          <w:p w14:paraId="451B53E1"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0F4398EE"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DE6CC97" w14:textId="2131260D" w:rsidR="00F519FA" w:rsidRDefault="00F519FA" w:rsidP="00F519FA">
            <w:pPr>
              <w:pStyle w:val="DHHStabletext"/>
            </w:pPr>
            <w:r>
              <w:t>Date of auction or tender</w:t>
            </w:r>
          </w:p>
        </w:tc>
        <w:tc>
          <w:tcPr>
            <w:tcW w:w="6004" w:type="dxa"/>
          </w:tcPr>
          <w:p w14:paraId="7A439F4F"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1DDAF98D" w14:textId="61FD766E" w:rsidR="00F519FA" w:rsidRDefault="00F519FA" w:rsidP="00F519FA">
      <w:pPr>
        <w:pStyle w:val="Heading3"/>
      </w:pPr>
      <w:r>
        <w:t>Sale details</w:t>
      </w:r>
    </w:p>
    <w:tbl>
      <w:tblPr>
        <w:tblStyle w:val="TableGrid"/>
        <w:tblW w:w="0" w:type="auto"/>
        <w:tblLook w:val="04A0" w:firstRow="1" w:lastRow="0" w:firstColumn="1" w:lastColumn="0" w:noHBand="0" w:noVBand="1"/>
      </w:tblPr>
      <w:tblGrid>
        <w:gridCol w:w="3330"/>
        <w:gridCol w:w="5850"/>
      </w:tblGrid>
      <w:tr w:rsidR="00F519FA" w:rsidRPr="003B10A0" w14:paraId="63B11882"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4A45562" w14:textId="77777777" w:rsidR="00F519FA" w:rsidRPr="003B10A0" w:rsidRDefault="00F519FA" w:rsidP="00F519FA">
            <w:pPr>
              <w:pStyle w:val="DHHStablecolhead"/>
            </w:pPr>
            <w:r w:rsidRPr="003B10A0">
              <w:t>Question</w:t>
            </w:r>
          </w:p>
        </w:tc>
        <w:tc>
          <w:tcPr>
            <w:tcW w:w="6004" w:type="dxa"/>
          </w:tcPr>
          <w:p w14:paraId="5F6C9586"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2F270988"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C062379" w14:textId="1B7A553D" w:rsidR="00F519FA" w:rsidRPr="003B10A0" w:rsidRDefault="00F519FA" w:rsidP="00F519FA">
            <w:pPr>
              <w:pStyle w:val="DHHStabletext"/>
            </w:pPr>
            <w:r>
              <w:t>Sale price ($)</w:t>
            </w:r>
          </w:p>
        </w:tc>
        <w:tc>
          <w:tcPr>
            <w:tcW w:w="6004" w:type="dxa"/>
          </w:tcPr>
          <w:p w14:paraId="328B902E"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028CAEC6"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07A57190" w14:textId="36A051D4" w:rsidR="00F519FA" w:rsidRPr="003B10A0" w:rsidRDefault="00F519FA" w:rsidP="00F519FA">
            <w:pPr>
              <w:pStyle w:val="DHHStabletext"/>
            </w:pPr>
            <w:r>
              <w:t>Date of sale</w:t>
            </w:r>
          </w:p>
        </w:tc>
        <w:tc>
          <w:tcPr>
            <w:tcW w:w="6004" w:type="dxa"/>
          </w:tcPr>
          <w:p w14:paraId="71025BE7"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258F3A90"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6A198D29" w14:textId="311F20EB" w:rsidR="00F519FA" w:rsidRPr="003B10A0" w:rsidRDefault="00F519FA" w:rsidP="00F519FA">
            <w:pPr>
              <w:pStyle w:val="DHHStabletext"/>
            </w:pPr>
            <w:r>
              <w:t>Date of settlement</w:t>
            </w:r>
          </w:p>
        </w:tc>
        <w:tc>
          <w:tcPr>
            <w:tcW w:w="6004" w:type="dxa"/>
          </w:tcPr>
          <w:p w14:paraId="714956AE"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6AC3AEEC" w14:textId="16420E06" w:rsidR="005E7112" w:rsidRDefault="005E7112" w:rsidP="00577484">
      <w:pPr>
        <w:pStyle w:val="AppendixHeading2"/>
      </w:pPr>
      <w:r>
        <w:t xml:space="preserve">Settlement </w:t>
      </w:r>
      <w:r w:rsidR="00F519FA">
        <w:t>r</w:t>
      </w:r>
      <w:r>
        <w:t>equirements</w:t>
      </w:r>
    </w:p>
    <w:p w14:paraId="23001414" w14:textId="0582E03D" w:rsidR="00F519FA" w:rsidRDefault="00F519FA" w:rsidP="00F519FA">
      <w:pPr>
        <w:pStyle w:val="Heading3"/>
      </w:pPr>
      <w:r>
        <w:t>Settlement details</w:t>
      </w:r>
    </w:p>
    <w:tbl>
      <w:tblPr>
        <w:tblStyle w:val="TableGrid"/>
        <w:tblW w:w="0" w:type="auto"/>
        <w:tblLook w:val="04A0" w:firstRow="1" w:lastRow="0" w:firstColumn="1" w:lastColumn="0" w:noHBand="0" w:noVBand="1"/>
      </w:tblPr>
      <w:tblGrid>
        <w:gridCol w:w="3335"/>
        <w:gridCol w:w="5845"/>
      </w:tblGrid>
      <w:tr w:rsidR="00F519FA" w:rsidRPr="003B10A0" w14:paraId="7B93A789"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550F195B" w14:textId="2C99455B" w:rsidR="00F519FA" w:rsidRPr="003B10A0" w:rsidRDefault="00F519FA" w:rsidP="00F519FA">
            <w:pPr>
              <w:pStyle w:val="DHHStablecolhead"/>
            </w:pPr>
            <w:r w:rsidRPr="003B10A0">
              <w:t>Question</w:t>
            </w:r>
            <w:r>
              <w:t xml:space="preserve"> or action</w:t>
            </w:r>
          </w:p>
        </w:tc>
        <w:tc>
          <w:tcPr>
            <w:tcW w:w="6004" w:type="dxa"/>
          </w:tcPr>
          <w:p w14:paraId="3F4CACF2"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3520696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6A8F3AFD" w14:textId="493FE166" w:rsidR="00F519FA" w:rsidRPr="003B10A0" w:rsidRDefault="00F519FA" w:rsidP="00F519FA">
            <w:pPr>
              <w:pStyle w:val="DHHStabletext"/>
            </w:pPr>
            <w:r>
              <w:t>Settlement advice (adjustments and so on)</w:t>
            </w:r>
          </w:p>
        </w:tc>
        <w:tc>
          <w:tcPr>
            <w:tcW w:w="6004" w:type="dxa"/>
          </w:tcPr>
          <w:p w14:paraId="13D6DE72"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5B9AA740"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37791BF1" w14:textId="1B1961A4" w:rsidR="00F519FA" w:rsidRPr="003B10A0" w:rsidRDefault="00F519FA" w:rsidP="00F519FA">
            <w:pPr>
              <w:pStyle w:val="DHHStabletext"/>
            </w:pPr>
            <w:r>
              <w:t>Raise tax invoice</w:t>
            </w:r>
          </w:p>
        </w:tc>
        <w:tc>
          <w:tcPr>
            <w:tcW w:w="6004" w:type="dxa"/>
          </w:tcPr>
          <w:p w14:paraId="3C31BFDF"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69A0513C"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70F28E7" w14:textId="2EB600AB" w:rsidR="00F519FA" w:rsidRPr="003B10A0" w:rsidRDefault="00F519FA" w:rsidP="00F519FA">
            <w:pPr>
              <w:pStyle w:val="DHHStabletext"/>
            </w:pPr>
            <w:r>
              <w:t>Process settlement cheques</w:t>
            </w:r>
          </w:p>
        </w:tc>
        <w:tc>
          <w:tcPr>
            <w:tcW w:w="6004" w:type="dxa"/>
          </w:tcPr>
          <w:p w14:paraId="7BA0F9E9"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54A681D2" w14:textId="3DEFD686" w:rsidR="00F519FA" w:rsidRDefault="00F519FA" w:rsidP="00F519FA">
      <w:pPr>
        <w:pStyle w:val="Heading3"/>
      </w:pPr>
      <w:r>
        <w:t>Settlement deferred</w:t>
      </w:r>
    </w:p>
    <w:tbl>
      <w:tblPr>
        <w:tblStyle w:val="TableGrid"/>
        <w:tblW w:w="0" w:type="auto"/>
        <w:tblLook w:val="04A0" w:firstRow="1" w:lastRow="0" w:firstColumn="1" w:lastColumn="0" w:noHBand="0" w:noVBand="1"/>
      </w:tblPr>
      <w:tblGrid>
        <w:gridCol w:w="3331"/>
        <w:gridCol w:w="5849"/>
      </w:tblGrid>
      <w:tr w:rsidR="00F519FA" w:rsidRPr="003B10A0" w14:paraId="029C5138"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2CF253E" w14:textId="25AB1EEB" w:rsidR="00F519FA" w:rsidRPr="003B10A0" w:rsidRDefault="00F519FA" w:rsidP="00F519FA">
            <w:pPr>
              <w:pStyle w:val="DHHStablecolhead"/>
            </w:pPr>
            <w:r w:rsidRPr="003B10A0">
              <w:t>Question</w:t>
            </w:r>
            <w:r>
              <w:t xml:space="preserve"> or action</w:t>
            </w:r>
          </w:p>
        </w:tc>
        <w:tc>
          <w:tcPr>
            <w:tcW w:w="6004" w:type="dxa"/>
          </w:tcPr>
          <w:p w14:paraId="2FD467BC"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027A69EA"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41E4947B" w14:textId="07284430" w:rsidR="00F519FA" w:rsidRPr="003B10A0" w:rsidRDefault="00F519FA" w:rsidP="00F519FA">
            <w:pPr>
              <w:pStyle w:val="DHHStabletext"/>
            </w:pPr>
            <w:r>
              <w:t>Settlement deferred? (Yes or No)</w:t>
            </w:r>
          </w:p>
        </w:tc>
        <w:tc>
          <w:tcPr>
            <w:tcW w:w="6004" w:type="dxa"/>
          </w:tcPr>
          <w:p w14:paraId="792102EE"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46787202"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2D3DD674" w14:textId="158D9B8C" w:rsidR="00F519FA" w:rsidRPr="003B10A0" w:rsidRDefault="00F519FA" w:rsidP="00F519FA">
            <w:pPr>
              <w:pStyle w:val="DHHStabletext"/>
            </w:pPr>
            <w:r>
              <w:t>Penalty interest rate</w:t>
            </w:r>
          </w:p>
        </w:tc>
        <w:tc>
          <w:tcPr>
            <w:tcW w:w="6004" w:type="dxa"/>
          </w:tcPr>
          <w:p w14:paraId="3858EC92"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0479F8D2"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5BA8FD2" w14:textId="6A880BBD" w:rsidR="00F519FA" w:rsidRPr="003B10A0" w:rsidRDefault="00F519FA" w:rsidP="00F519FA">
            <w:pPr>
              <w:pStyle w:val="DHHStabletext"/>
            </w:pPr>
            <w:r>
              <w:t>Amount</w:t>
            </w:r>
          </w:p>
        </w:tc>
        <w:tc>
          <w:tcPr>
            <w:tcW w:w="6004" w:type="dxa"/>
          </w:tcPr>
          <w:p w14:paraId="312C1DA4"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5ECDE45D"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5FDDF330" w14:textId="3C2BC221" w:rsidR="00F519FA" w:rsidRDefault="00F519FA" w:rsidP="00F519FA">
            <w:pPr>
              <w:pStyle w:val="DHHStabletext"/>
            </w:pPr>
            <w:r>
              <w:t>New settlement date</w:t>
            </w:r>
          </w:p>
        </w:tc>
        <w:tc>
          <w:tcPr>
            <w:tcW w:w="6004" w:type="dxa"/>
          </w:tcPr>
          <w:p w14:paraId="60C77484"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F519FA" w:rsidRPr="003B10A0" w14:paraId="32549D2E"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165F9EAB" w14:textId="6FE328C7" w:rsidR="00F519FA" w:rsidRDefault="00F519FA" w:rsidP="00F519FA">
            <w:pPr>
              <w:pStyle w:val="DHHStabletext"/>
            </w:pPr>
            <w:r>
              <w:lastRenderedPageBreak/>
              <w:t>Default notice issued?</w:t>
            </w:r>
          </w:p>
        </w:tc>
        <w:tc>
          <w:tcPr>
            <w:tcW w:w="6004" w:type="dxa"/>
          </w:tcPr>
          <w:p w14:paraId="6D56B46D"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30F9C14C" w14:textId="5A7C5DE9" w:rsidR="00F519FA" w:rsidRDefault="00F519FA" w:rsidP="00F519FA">
      <w:pPr>
        <w:pStyle w:val="Heading3"/>
      </w:pPr>
      <w:r>
        <w:t>Assessment management record</w:t>
      </w:r>
    </w:p>
    <w:tbl>
      <w:tblPr>
        <w:tblStyle w:val="TableGrid"/>
        <w:tblW w:w="0" w:type="auto"/>
        <w:tblLook w:val="04A0" w:firstRow="1" w:lastRow="0" w:firstColumn="1" w:lastColumn="0" w:noHBand="0" w:noVBand="1"/>
      </w:tblPr>
      <w:tblGrid>
        <w:gridCol w:w="3329"/>
        <w:gridCol w:w="5851"/>
      </w:tblGrid>
      <w:tr w:rsidR="00F519FA" w:rsidRPr="003B10A0" w14:paraId="245550A2" w14:textId="77777777" w:rsidTr="005774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87951E7" w14:textId="3D2A4CC7" w:rsidR="00F519FA" w:rsidRPr="003B10A0" w:rsidRDefault="00F519FA" w:rsidP="00F519FA">
            <w:pPr>
              <w:pStyle w:val="DHHStablecolhead"/>
            </w:pPr>
            <w:r w:rsidRPr="003B10A0">
              <w:t>Question</w:t>
            </w:r>
            <w:r>
              <w:t xml:space="preserve"> or action</w:t>
            </w:r>
          </w:p>
        </w:tc>
        <w:tc>
          <w:tcPr>
            <w:tcW w:w="6004" w:type="dxa"/>
          </w:tcPr>
          <w:p w14:paraId="61480E31" w14:textId="77777777" w:rsidR="00F519FA" w:rsidRPr="003B10A0" w:rsidRDefault="00F519FA" w:rsidP="00F519FA">
            <w:pPr>
              <w:pStyle w:val="DHHStablecolhead"/>
              <w:cnfStyle w:val="100000000000" w:firstRow="1" w:lastRow="0" w:firstColumn="0" w:lastColumn="0" w:oddVBand="0" w:evenVBand="0" w:oddHBand="0" w:evenHBand="0" w:firstRowFirstColumn="0" w:firstRowLastColumn="0" w:lastRowFirstColumn="0" w:lastRowLastColumn="0"/>
            </w:pPr>
            <w:r w:rsidRPr="003B10A0">
              <w:t>Response</w:t>
            </w:r>
          </w:p>
        </w:tc>
      </w:tr>
      <w:tr w:rsidR="00F519FA" w:rsidRPr="003B10A0" w14:paraId="73C15A35" w14:textId="77777777" w:rsidTr="00577484">
        <w:tc>
          <w:tcPr>
            <w:cnfStyle w:val="001000000000" w:firstRow="0" w:lastRow="0" w:firstColumn="1" w:lastColumn="0" w:oddVBand="0" w:evenVBand="0" w:oddHBand="0" w:evenHBand="0" w:firstRowFirstColumn="0" w:firstRowLastColumn="0" w:lastRowFirstColumn="0" w:lastRowLastColumn="0"/>
            <w:tcW w:w="3402" w:type="dxa"/>
          </w:tcPr>
          <w:p w14:paraId="780320BA" w14:textId="4BC3DB30" w:rsidR="00F519FA" w:rsidRPr="003B10A0" w:rsidRDefault="00F519FA" w:rsidP="00F519FA">
            <w:pPr>
              <w:pStyle w:val="DHHStabletext"/>
            </w:pPr>
            <w:r>
              <w:t>Update asset register</w:t>
            </w:r>
          </w:p>
        </w:tc>
        <w:tc>
          <w:tcPr>
            <w:tcW w:w="6004" w:type="dxa"/>
          </w:tcPr>
          <w:p w14:paraId="2B0B8385" w14:textId="77777777" w:rsidR="00F519FA" w:rsidRPr="003B10A0" w:rsidRDefault="00F519FA"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37F511B4" w14:textId="77777777" w:rsidR="003C2C55" w:rsidRDefault="003C2C55">
      <w:pPr>
        <w:sectPr w:rsidR="003C2C55" w:rsidSect="003C2C55">
          <w:footerReference w:type="even" r:id="rId60"/>
          <w:footerReference w:type="default" r:id="rId61"/>
          <w:footerReference w:type="first" r:id="rId62"/>
          <w:pgSz w:w="11906" w:h="16838"/>
          <w:pgMar w:top="1134" w:right="1304" w:bottom="1701" w:left="1304" w:header="454" w:footer="510" w:gutter="0"/>
          <w:pgNumType w:start="1"/>
          <w:cols w:space="720"/>
          <w:titlePg/>
          <w:docGrid w:linePitch="360"/>
        </w:sectPr>
      </w:pPr>
    </w:p>
    <w:p w14:paraId="060D4901" w14:textId="102EFBB1" w:rsidR="005E7112" w:rsidRDefault="00C35825" w:rsidP="00E678AC">
      <w:pPr>
        <w:pStyle w:val="Heading1"/>
        <w:spacing w:before="0"/>
      </w:pPr>
      <w:bookmarkStart w:id="115" w:name="_Toc42254595"/>
      <w:r>
        <w:lastRenderedPageBreak/>
        <w:t>Attachment 4</w:t>
      </w:r>
      <w:r w:rsidR="005A2741">
        <w:t>A</w:t>
      </w:r>
      <w:r>
        <w:t xml:space="preserve">: </w:t>
      </w:r>
      <w:r w:rsidR="005A2741" w:rsidRPr="00B83900">
        <w:t xml:space="preserve">DHHS first right of refusal request </w:t>
      </w:r>
      <w:r>
        <w:t>form</w:t>
      </w:r>
      <w:bookmarkEnd w:id="115"/>
    </w:p>
    <w:p w14:paraId="4C68E4BD" w14:textId="64A2D420" w:rsidR="00C35825" w:rsidRDefault="00C35825" w:rsidP="00C35825">
      <w:pPr>
        <w:pStyle w:val="DHHSbody"/>
      </w:pPr>
      <w:r>
        <w:t xml:space="preserve">To notify Land Use Victoria of a property to be included in the FROR process, please populate the following table and email it to </w:t>
      </w:r>
      <w:r w:rsidR="008E249F" w:rsidRPr="00577484">
        <w:rPr>
          <w:b/>
          <w:bCs/>
        </w:rPr>
        <w:t>fror.luv@delwp.vic.gov.au</w:t>
      </w:r>
      <w:r>
        <w:t>.</w:t>
      </w:r>
    </w:p>
    <w:tbl>
      <w:tblPr>
        <w:tblStyle w:val="TableGrid"/>
        <w:tblW w:w="0" w:type="auto"/>
        <w:tblLook w:val="04A0" w:firstRow="1" w:lastRow="0" w:firstColumn="1" w:lastColumn="0" w:noHBand="0" w:noVBand="1"/>
      </w:tblPr>
      <w:tblGrid>
        <w:gridCol w:w="3479"/>
        <w:gridCol w:w="5701"/>
      </w:tblGrid>
      <w:tr w:rsidR="00C35825" w:rsidRPr="00FF4396" w14:paraId="776FD55F" w14:textId="77777777" w:rsidTr="00F51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7822F86" w14:textId="77777777" w:rsidR="00C35825" w:rsidRPr="00FF4396" w:rsidRDefault="00C35825" w:rsidP="00F519FA">
            <w:pPr>
              <w:pStyle w:val="DHHStablecolhead"/>
            </w:pPr>
            <w:r w:rsidRPr="00FF4396">
              <w:t>Item</w:t>
            </w:r>
          </w:p>
        </w:tc>
        <w:tc>
          <w:tcPr>
            <w:tcW w:w="5862" w:type="dxa"/>
          </w:tcPr>
          <w:p w14:paraId="7865E0D9" w14:textId="77777777" w:rsidR="00C35825" w:rsidRPr="00FF4396" w:rsidRDefault="00C35825" w:rsidP="00F519FA">
            <w:pPr>
              <w:pStyle w:val="DHHStablecolhead"/>
              <w:cnfStyle w:val="100000000000" w:firstRow="1" w:lastRow="0" w:firstColumn="0" w:lastColumn="0" w:oddVBand="0" w:evenVBand="0" w:oddHBand="0" w:evenHBand="0" w:firstRowFirstColumn="0" w:firstRowLastColumn="0" w:lastRowFirstColumn="0" w:lastRowLastColumn="0"/>
            </w:pPr>
            <w:r w:rsidRPr="00FF4396">
              <w:t>Detail</w:t>
            </w:r>
          </w:p>
        </w:tc>
      </w:tr>
      <w:tr w:rsidR="00C35825" w:rsidRPr="00FF4396" w14:paraId="73F8F60C"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18599720" w14:textId="77777777" w:rsidR="00C35825" w:rsidRPr="000724AC" w:rsidRDefault="00C35825" w:rsidP="00F519FA">
            <w:pPr>
              <w:pStyle w:val="DHHStablecolhead"/>
              <w:rPr>
                <w:color w:val="auto"/>
              </w:rPr>
            </w:pPr>
            <w:r w:rsidRPr="000724AC">
              <w:rPr>
                <w:color w:val="auto"/>
              </w:rPr>
              <w:t>Municipality</w:t>
            </w:r>
          </w:p>
        </w:tc>
        <w:tc>
          <w:tcPr>
            <w:tcW w:w="5862" w:type="dxa"/>
          </w:tcPr>
          <w:p w14:paraId="4007529C" w14:textId="59875743"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050412E6"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31042039" w14:textId="77777777" w:rsidR="00C35825" w:rsidRPr="000724AC" w:rsidRDefault="00C35825" w:rsidP="00F519FA">
            <w:pPr>
              <w:pStyle w:val="DHHStablecolhead"/>
              <w:rPr>
                <w:color w:val="auto"/>
              </w:rPr>
            </w:pPr>
            <w:r w:rsidRPr="000724AC">
              <w:rPr>
                <w:color w:val="auto"/>
              </w:rPr>
              <w:t>Street address</w:t>
            </w:r>
          </w:p>
        </w:tc>
        <w:tc>
          <w:tcPr>
            <w:tcW w:w="5862" w:type="dxa"/>
          </w:tcPr>
          <w:p w14:paraId="0654F9E9" w14:textId="382B78E3"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4AD9E299"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0855BE53" w14:textId="77777777" w:rsidR="00C35825" w:rsidRPr="000724AC" w:rsidRDefault="00C35825" w:rsidP="00F519FA">
            <w:pPr>
              <w:pStyle w:val="DHHStablecolhead"/>
              <w:rPr>
                <w:color w:val="auto"/>
              </w:rPr>
            </w:pPr>
            <w:r w:rsidRPr="000724AC">
              <w:rPr>
                <w:color w:val="auto"/>
              </w:rPr>
              <w:t>Suburb</w:t>
            </w:r>
          </w:p>
        </w:tc>
        <w:tc>
          <w:tcPr>
            <w:tcW w:w="5862" w:type="dxa"/>
          </w:tcPr>
          <w:p w14:paraId="5C73358A" w14:textId="76C9643E"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2A9ED5D0"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23D6DDE7" w14:textId="77777777" w:rsidR="00C35825" w:rsidRPr="000724AC" w:rsidRDefault="00C35825" w:rsidP="00F519FA">
            <w:pPr>
              <w:pStyle w:val="DHHStablecolhead"/>
              <w:rPr>
                <w:color w:val="auto"/>
              </w:rPr>
            </w:pPr>
            <w:r w:rsidRPr="000724AC">
              <w:rPr>
                <w:color w:val="auto"/>
              </w:rPr>
              <w:t xml:space="preserve">Legal description </w:t>
            </w:r>
            <w:r w:rsidRPr="00577484">
              <w:rPr>
                <w:b w:val="0"/>
                <w:bCs/>
                <w:color w:val="auto"/>
              </w:rPr>
              <w:t>(such as Crown allot, Vol/</w:t>
            </w:r>
            <w:proofErr w:type="spellStart"/>
            <w:r w:rsidRPr="00577484">
              <w:rPr>
                <w:b w:val="0"/>
                <w:bCs/>
                <w:color w:val="auto"/>
              </w:rPr>
              <w:t>Fol</w:t>
            </w:r>
            <w:proofErr w:type="spellEnd"/>
            <w:r w:rsidRPr="00577484">
              <w:rPr>
                <w:b w:val="0"/>
                <w:bCs/>
                <w:color w:val="auto"/>
              </w:rPr>
              <w:t>, Lot/Plan or SPI)</w:t>
            </w:r>
          </w:p>
        </w:tc>
        <w:tc>
          <w:tcPr>
            <w:tcW w:w="5862" w:type="dxa"/>
          </w:tcPr>
          <w:p w14:paraId="050BA3FD" w14:textId="27179F2D"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3177AD63"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2A7D492E" w14:textId="77777777" w:rsidR="00C35825" w:rsidRPr="000724AC" w:rsidRDefault="00C35825" w:rsidP="00F519FA">
            <w:pPr>
              <w:pStyle w:val="DHHStablecolhead"/>
              <w:rPr>
                <w:color w:val="auto"/>
              </w:rPr>
            </w:pPr>
            <w:r w:rsidRPr="000724AC">
              <w:rPr>
                <w:color w:val="auto"/>
              </w:rPr>
              <w:t>Landholding agency, property common name</w:t>
            </w:r>
          </w:p>
        </w:tc>
        <w:tc>
          <w:tcPr>
            <w:tcW w:w="5862" w:type="dxa"/>
          </w:tcPr>
          <w:p w14:paraId="236D4187" w14:textId="1B02F058"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3FDF78D9"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57438488" w14:textId="77777777" w:rsidR="00C35825" w:rsidRPr="000724AC" w:rsidRDefault="00C35825" w:rsidP="00F519FA">
            <w:pPr>
              <w:pStyle w:val="DHHStablecolhead"/>
              <w:rPr>
                <w:color w:val="auto"/>
              </w:rPr>
            </w:pPr>
            <w:r w:rsidRPr="000724AC">
              <w:rPr>
                <w:color w:val="auto"/>
              </w:rPr>
              <w:t>Tenure (Crown or freehold)</w:t>
            </w:r>
          </w:p>
        </w:tc>
        <w:tc>
          <w:tcPr>
            <w:tcW w:w="5862" w:type="dxa"/>
          </w:tcPr>
          <w:p w14:paraId="54403FE1" w14:textId="5ACB16F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6A97FE32"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7B2BFC10" w14:textId="0647328A" w:rsidR="00C35825" w:rsidRPr="000724AC" w:rsidRDefault="00C35825" w:rsidP="00F519FA">
            <w:pPr>
              <w:pStyle w:val="DHHStablecolhead"/>
              <w:rPr>
                <w:color w:val="auto"/>
              </w:rPr>
            </w:pPr>
            <w:r w:rsidRPr="000724AC">
              <w:rPr>
                <w:color w:val="auto"/>
              </w:rPr>
              <w:t>Land area (appro</w:t>
            </w:r>
            <w:r>
              <w:rPr>
                <w:color w:val="auto"/>
              </w:rPr>
              <w:t>ximate</w:t>
            </w:r>
            <w:r w:rsidRPr="000724AC">
              <w:rPr>
                <w:color w:val="auto"/>
              </w:rPr>
              <w:t xml:space="preserve"> hectares)</w:t>
            </w:r>
          </w:p>
        </w:tc>
        <w:tc>
          <w:tcPr>
            <w:tcW w:w="5862" w:type="dxa"/>
          </w:tcPr>
          <w:p w14:paraId="6171ECD8" w14:textId="3C3CE802"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667913E8"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63FFBB4C" w14:textId="77777777" w:rsidR="00C35825" w:rsidRPr="000724AC" w:rsidRDefault="00C35825" w:rsidP="00F519FA">
            <w:pPr>
              <w:pStyle w:val="DHHStablecolhead"/>
              <w:rPr>
                <w:color w:val="auto"/>
              </w:rPr>
            </w:pPr>
            <w:r w:rsidRPr="000724AC">
              <w:rPr>
                <w:color w:val="auto"/>
              </w:rPr>
              <w:t>Ministerial or Board approval (date declared surplus)</w:t>
            </w:r>
          </w:p>
        </w:tc>
        <w:tc>
          <w:tcPr>
            <w:tcW w:w="5862" w:type="dxa"/>
          </w:tcPr>
          <w:p w14:paraId="64C14B77" w14:textId="079D6C3F"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62E82859"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4DFD98E7" w14:textId="77777777" w:rsidR="00C35825" w:rsidRPr="000724AC" w:rsidRDefault="00C35825" w:rsidP="00F519FA">
            <w:pPr>
              <w:pStyle w:val="DHHStablecolhead"/>
              <w:rPr>
                <w:color w:val="auto"/>
              </w:rPr>
            </w:pPr>
            <w:r w:rsidRPr="000724AC">
              <w:rPr>
                <w:color w:val="auto"/>
              </w:rPr>
              <w:t>Current and former use of asset</w:t>
            </w:r>
          </w:p>
        </w:tc>
        <w:tc>
          <w:tcPr>
            <w:tcW w:w="5862" w:type="dxa"/>
          </w:tcPr>
          <w:p w14:paraId="14DFA5CB" w14:textId="3A79B325"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4259F614"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7F60C2BB" w14:textId="77777777" w:rsidR="00C35825" w:rsidRPr="000724AC" w:rsidRDefault="00C35825" w:rsidP="00F519FA">
            <w:pPr>
              <w:pStyle w:val="DHHStablecolhead"/>
              <w:rPr>
                <w:color w:val="auto"/>
              </w:rPr>
            </w:pPr>
            <w:r w:rsidRPr="000724AC">
              <w:rPr>
                <w:color w:val="auto"/>
              </w:rPr>
              <w:t>Registered proprietor (if freehold)</w:t>
            </w:r>
          </w:p>
        </w:tc>
        <w:tc>
          <w:tcPr>
            <w:tcW w:w="5862" w:type="dxa"/>
          </w:tcPr>
          <w:p w14:paraId="3E1B8F6C" w14:textId="6CEEA645"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0EADEFC1"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104240EC" w14:textId="77777777" w:rsidR="00C35825" w:rsidRPr="000724AC" w:rsidRDefault="00C35825" w:rsidP="00F519FA">
            <w:pPr>
              <w:pStyle w:val="DHHStablecolhead"/>
              <w:rPr>
                <w:color w:val="auto"/>
              </w:rPr>
            </w:pPr>
            <w:r w:rsidRPr="000724AC">
              <w:rPr>
                <w:color w:val="auto"/>
              </w:rPr>
              <w:t>Forecast estimated sale price</w:t>
            </w:r>
          </w:p>
        </w:tc>
        <w:tc>
          <w:tcPr>
            <w:tcW w:w="5862" w:type="dxa"/>
          </w:tcPr>
          <w:p w14:paraId="58C1678A" w14:textId="0826CB2A"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66CF09BE"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41D371B1" w14:textId="77777777" w:rsidR="00C35825" w:rsidRPr="000724AC" w:rsidRDefault="00C35825" w:rsidP="00F519FA">
            <w:pPr>
              <w:pStyle w:val="DHHStablecolhead"/>
              <w:rPr>
                <w:color w:val="auto"/>
              </w:rPr>
            </w:pPr>
            <w:r w:rsidRPr="000724AC">
              <w:rPr>
                <w:color w:val="auto"/>
              </w:rPr>
              <w:t>Forecast estimated sale year</w:t>
            </w:r>
          </w:p>
        </w:tc>
        <w:tc>
          <w:tcPr>
            <w:tcW w:w="5862" w:type="dxa"/>
          </w:tcPr>
          <w:p w14:paraId="67BD5E14" w14:textId="534CAC59"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r w:rsidR="00C35825" w:rsidRPr="00FF4396" w14:paraId="6B1ACBEB"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2FB5AE1E" w14:textId="77777777" w:rsidR="00C35825" w:rsidRPr="000724AC" w:rsidRDefault="00C35825" w:rsidP="00F519FA">
            <w:pPr>
              <w:pStyle w:val="DHHStablecolhead"/>
              <w:rPr>
                <w:color w:val="auto"/>
              </w:rPr>
            </w:pPr>
            <w:r w:rsidRPr="000724AC">
              <w:rPr>
                <w:color w:val="auto"/>
              </w:rPr>
              <w:t>FROR commenced</w:t>
            </w:r>
          </w:p>
        </w:tc>
        <w:tc>
          <w:tcPr>
            <w:tcW w:w="5862" w:type="dxa"/>
            <w:shd w:val="clear" w:color="auto" w:fill="F2F2F2" w:themeFill="background1" w:themeFillShade="F2"/>
          </w:tcPr>
          <w:p w14:paraId="67E5848C"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 xml:space="preserve">FROR </w:t>
            </w:r>
            <w:r>
              <w:t>use</w:t>
            </w:r>
          </w:p>
        </w:tc>
      </w:tr>
      <w:tr w:rsidR="00C35825" w:rsidRPr="00FF4396" w14:paraId="37DC57C3"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7E0DE722" w14:textId="77777777" w:rsidR="00C35825" w:rsidRPr="000724AC" w:rsidRDefault="00C35825" w:rsidP="00F519FA">
            <w:pPr>
              <w:pStyle w:val="DHHStablecolhead"/>
              <w:rPr>
                <w:color w:val="auto"/>
              </w:rPr>
            </w:pPr>
            <w:r w:rsidRPr="000724AC">
              <w:rPr>
                <w:color w:val="auto"/>
              </w:rPr>
              <w:t>FROR concludes</w:t>
            </w:r>
          </w:p>
        </w:tc>
        <w:tc>
          <w:tcPr>
            <w:tcW w:w="5862" w:type="dxa"/>
            <w:shd w:val="clear" w:color="auto" w:fill="F2F2F2" w:themeFill="background1" w:themeFillShade="F2"/>
          </w:tcPr>
          <w:p w14:paraId="766911CA"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 xml:space="preserve">FROR </w:t>
            </w:r>
            <w:r>
              <w:t>use</w:t>
            </w:r>
          </w:p>
        </w:tc>
      </w:tr>
      <w:tr w:rsidR="00C35825" w:rsidRPr="00FF4396" w14:paraId="7230E9D4" w14:textId="77777777" w:rsidTr="00F519FA">
        <w:tc>
          <w:tcPr>
            <w:cnfStyle w:val="001000000000" w:firstRow="0" w:lastRow="0" w:firstColumn="1" w:lastColumn="0" w:oddVBand="0" w:evenVBand="0" w:oddHBand="0" w:evenHBand="0" w:firstRowFirstColumn="0" w:firstRowLastColumn="0" w:lastRowFirstColumn="0" w:lastRowLastColumn="0"/>
            <w:tcW w:w="3544" w:type="dxa"/>
          </w:tcPr>
          <w:p w14:paraId="1B1FA48A" w14:textId="7B1282BD" w:rsidR="00C35825" w:rsidRPr="000724AC" w:rsidRDefault="00C35825" w:rsidP="00F519FA">
            <w:pPr>
              <w:pStyle w:val="DHHStablecolhead"/>
              <w:rPr>
                <w:color w:val="auto"/>
              </w:rPr>
            </w:pPr>
            <w:r w:rsidRPr="000724AC">
              <w:rPr>
                <w:color w:val="auto"/>
              </w:rPr>
              <w:t xml:space="preserve">Relevant agency </w:t>
            </w:r>
            <w:proofErr w:type="gramStart"/>
            <w:r w:rsidRPr="000724AC">
              <w:rPr>
                <w:color w:val="auto"/>
              </w:rPr>
              <w:t>contact</w:t>
            </w:r>
            <w:proofErr w:type="gramEnd"/>
            <w:r>
              <w:rPr>
                <w:color w:val="auto"/>
              </w:rPr>
              <w:t xml:space="preserve"> information</w:t>
            </w:r>
          </w:p>
        </w:tc>
        <w:tc>
          <w:tcPr>
            <w:tcW w:w="5862" w:type="dxa"/>
          </w:tcPr>
          <w:p w14:paraId="27F80DAA" w14:textId="3F7CC4F9"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p>
        </w:tc>
      </w:tr>
    </w:tbl>
    <w:p w14:paraId="6F246402" w14:textId="00CEF85D" w:rsidR="00382037" w:rsidRDefault="00382037" w:rsidP="00C35825">
      <w:pPr>
        <w:pStyle w:val="DHHSbody"/>
      </w:pPr>
    </w:p>
    <w:p w14:paraId="1F1AABD4" w14:textId="77777777" w:rsidR="00382037" w:rsidRDefault="00382037">
      <w:pPr>
        <w:rPr>
          <w:rFonts w:ascii="Arial" w:eastAsia="Times" w:hAnsi="Arial"/>
        </w:rPr>
      </w:pPr>
      <w:r>
        <w:br w:type="page"/>
      </w:r>
    </w:p>
    <w:p w14:paraId="0B5B661C" w14:textId="4CC55F68" w:rsidR="00C35825" w:rsidRPr="005A2741" w:rsidRDefault="00C35825" w:rsidP="00577484">
      <w:pPr>
        <w:pStyle w:val="Heading2"/>
      </w:pPr>
      <w:bookmarkStart w:id="116" w:name="_Toc42254596"/>
      <w:r>
        <w:lastRenderedPageBreak/>
        <w:t>Example completed form</w:t>
      </w:r>
      <w:bookmarkEnd w:id="116"/>
    </w:p>
    <w:tbl>
      <w:tblPr>
        <w:tblStyle w:val="TableGrid"/>
        <w:tblW w:w="0" w:type="auto"/>
        <w:tblLook w:val="04A0" w:firstRow="1" w:lastRow="0" w:firstColumn="1" w:lastColumn="0" w:noHBand="0" w:noVBand="1"/>
      </w:tblPr>
      <w:tblGrid>
        <w:gridCol w:w="3455"/>
        <w:gridCol w:w="5725"/>
      </w:tblGrid>
      <w:tr w:rsidR="00C35825" w:rsidRPr="00FF4396" w14:paraId="3A7CC839" w14:textId="77777777" w:rsidTr="00577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A35DC60" w14:textId="77777777" w:rsidR="00C35825" w:rsidRPr="00FF4396" w:rsidRDefault="00C35825" w:rsidP="00F519FA">
            <w:pPr>
              <w:pStyle w:val="DHHStablecolhead"/>
            </w:pPr>
            <w:r w:rsidRPr="00FF4396">
              <w:t>Item</w:t>
            </w:r>
          </w:p>
        </w:tc>
        <w:tc>
          <w:tcPr>
            <w:tcW w:w="5862" w:type="dxa"/>
          </w:tcPr>
          <w:p w14:paraId="5F542783" w14:textId="77777777" w:rsidR="00C35825" w:rsidRPr="00FF4396" w:rsidRDefault="00C35825" w:rsidP="00F519FA">
            <w:pPr>
              <w:pStyle w:val="DHHStablecolhead"/>
              <w:cnfStyle w:val="100000000000" w:firstRow="1" w:lastRow="0" w:firstColumn="0" w:lastColumn="0" w:oddVBand="0" w:evenVBand="0" w:oddHBand="0" w:evenHBand="0" w:firstRowFirstColumn="0" w:firstRowLastColumn="0" w:lastRowFirstColumn="0" w:lastRowLastColumn="0"/>
            </w:pPr>
            <w:r w:rsidRPr="00FF4396">
              <w:t>Detail</w:t>
            </w:r>
          </w:p>
        </w:tc>
      </w:tr>
      <w:tr w:rsidR="00C35825" w:rsidRPr="00FF4396" w14:paraId="00BDB733"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601A014E" w14:textId="77777777" w:rsidR="00C35825" w:rsidRPr="00577484" w:rsidRDefault="00C35825" w:rsidP="00577484">
            <w:pPr>
              <w:pStyle w:val="DHHStablecolhead"/>
            </w:pPr>
            <w:r w:rsidRPr="00C35825">
              <w:rPr>
                <w:color w:val="auto"/>
              </w:rPr>
              <w:t>Municipality</w:t>
            </w:r>
          </w:p>
        </w:tc>
        <w:tc>
          <w:tcPr>
            <w:tcW w:w="5862" w:type="dxa"/>
          </w:tcPr>
          <w:p w14:paraId="60B0FBEE" w14:textId="79F44BAF"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Hepburn</w:t>
            </w:r>
          </w:p>
        </w:tc>
      </w:tr>
      <w:tr w:rsidR="00C35825" w:rsidRPr="00FF4396" w14:paraId="1DED3A27"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0929DBEC" w14:textId="77777777" w:rsidR="00C35825" w:rsidRPr="00577484" w:rsidRDefault="00C35825" w:rsidP="00577484">
            <w:pPr>
              <w:pStyle w:val="DHHStablecolhead"/>
            </w:pPr>
            <w:r w:rsidRPr="00C35825">
              <w:rPr>
                <w:color w:val="auto"/>
              </w:rPr>
              <w:t>Street address</w:t>
            </w:r>
          </w:p>
        </w:tc>
        <w:tc>
          <w:tcPr>
            <w:tcW w:w="5862" w:type="dxa"/>
          </w:tcPr>
          <w:p w14:paraId="25E6AFA6"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Smith St</w:t>
            </w:r>
          </w:p>
        </w:tc>
      </w:tr>
      <w:tr w:rsidR="00C35825" w:rsidRPr="00FF4396" w14:paraId="1D8239ED"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30DCA6E6" w14:textId="77777777" w:rsidR="00C35825" w:rsidRPr="00577484" w:rsidRDefault="00C35825" w:rsidP="00577484">
            <w:pPr>
              <w:pStyle w:val="DHHStablecolhead"/>
            </w:pPr>
            <w:r w:rsidRPr="00C35825">
              <w:rPr>
                <w:color w:val="auto"/>
              </w:rPr>
              <w:t>Suburb</w:t>
            </w:r>
          </w:p>
        </w:tc>
        <w:tc>
          <w:tcPr>
            <w:tcW w:w="5862" w:type="dxa"/>
          </w:tcPr>
          <w:p w14:paraId="1BFB94A5"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Creswick</w:t>
            </w:r>
          </w:p>
        </w:tc>
      </w:tr>
      <w:tr w:rsidR="00C35825" w:rsidRPr="00FF4396" w14:paraId="15DA59B5"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7F4E8DE" w14:textId="77777777" w:rsidR="00C35825" w:rsidRPr="00577484" w:rsidRDefault="00C35825" w:rsidP="00577484">
            <w:pPr>
              <w:pStyle w:val="DHHStablecolhead"/>
            </w:pPr>
            <w:r w:rsidRPr="00C35825">
              <w:rPr>
                <w:color w:val="auto"/>
              </w:rPr>
              <w:t xml:space="preserve">Legal description </w:t>
            </w:r>
            <w:r w:rsidRPr="00577484">
              <w:rPr>
                <w:b w:val="0"/>
                <w:bCs/>
                <w:color w:val="auto"/>
              </w:rPr>
              <w:t>(such as Crown allot, Vol/</w:t>
            </w:r>
            <w:proofErr w:type="spellStart"/>
            <w:r w:rsidRPr="00577484">
              <w:rPr>
                <w:b w:val="0"/>
                <w:bCs/>
                <w:color w:val="auto"/>
              </w:rPr>
              <w:t>Fol</w:t>
            </w:r>
            <w:proofErr w:type="spellEnd"/>
            <w:r w:rsidRPr="00577484">
              <w:rPr>
                <w:b w:val="0"/>
                <w:bCs/>
                <w:color w:val="auto"/>
              </w:rPr>
              <w:t>, Lot/Plan or SPI)</w:t>
            </w:r>
          </w:p>
        </w:tc>
        <w:tc>
          <w:tcPr>
            <w:tcW w:w="5862" w:type="dxa"/>
          </w:tcPr>
          <w:p w14:paraId="79964B79"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16~47\PP5269</w:t>
            </w:r>
          </w:p>
        </w:tc>
      </w:tr>
      <w:tr w:rsidR="00C35825" w:rsidRPr="00FF4396" w14:paraId="0F1E322D"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74B03078" w14:textId="77777777" w:rsidR="00C35825" w:rsidRPr="00577484" w:rsidRDefault="00C35825" w:rsidP="00577484">
            <w:pPr>
              <w:pStyle w:val="DHHStablecolhead"/>
            </w:pPr>
            <w:r w:rsidRPr="00C35825">
              <w:rPr>
                <w:color w:val="auto"/>
              </w:rPr>
              <w:t>Landholding agency, property common name</w:t>
            </w:r>
          </w:p>
        </w:tc>
        <w:tc>
          <w:tcPr>
            <w:tcW w:w="5862" w:type="dxa"/>
          </w:tcPr>
          <w:p w14:paraId="264062E2"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Department of Justice and Regulation, Old Creswick Police station</w:t>
            </w:r>
          </w:p>
        </w:tc>
      </w:tr>
      <w:tr w:rsidR="00C35825" w:rsidRPr="00FF4396" w14:paraId="31074756"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477930F" w14:textId="77777777" w:rsidR="00C35825" w:rsidRPr="00577484" w:rsidRDefault="00C35825" w:rsidP="00577484">
            <w:pPr>
              <w:pStyle w:val="DHHStablecolhead"/>
            </w:pPr>
            <w:r w:rsidRPr="00C35825">
              <w:rPr>
                <w:color w:val="auto"/>
              </w:rPr>
              <w:t>Tenure (Crown or freehold)</w:t>
            </w:r>
          </w:p>
        </w:tc>
        <w:tc>
          <w:tcPr>
            <w:tcW w:w="5862" w:type="dxa"/>
          </w:tcPr>
          <w:p w14:paraId="4A516E74"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Crown</w:t>
            </w:r>
          </w:p>
        </w:tc>
      </w:tr>
      <w:tr w:rsidR="00C35825" w:rsidRPr="00FF4396" w14:paraId="0C339772"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7F4876FE" w14:textId="57E77484" w:rsidR="00C35825" w:rsidRPr="00577484" w:rsidRDefault="00C35825" w:rsidP="00577484">
            <w:pPr>
              <w:pStyle w:val="DHHStablecolhead"/>
            </w:pPr>
            <w:r w:rsidRPr="00C35825">
              <w:rPr>
                <w:color w:val="auto"/>
              </w:rPr>
              <w:t>Land area (approx</w:t>
            </w:r>
            <w:r>
              <w:rPr>
                <w:color w:val="auto"/>
              </w:rPr>
              <w:t>imate</w:t>
            </w:r>
            <w:r w:rsidRPr="00C35825">
              <w:rPr>
                <w:color w:val="auto"/>
              </w:rPr>
              <w:t xml:space="preserve"> hectares)</w:t>
            </w:r>
          </w:p>
        </w:tc>
        <w:tc>
          <w:tcPr>
            <w:tcW w:w="5862" w:type="dxa"/>
          </w:tcPr>
          <w:p w14:paraId="1A09FCCA"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0.3692</w:t>
            </w:r>
          </w:p>
        </w:tc>
      </w:tr>
      <w:tr w:rsidR="00C35825" w:rsidRPr="00FF4396" w14:paraId="563C662F"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32459D86" w14:textId="77777777" w:rsidR="00C35825" w:rsidRPr="00577484" w:rsidRDefault="00C35825" w:rsidP="00577484">
            <w:pPr>
              <w:pStyle w:val="DHHStablecolhead"/>
            </w:pPr>
            <w:r w:rsidRPr="00C35825">
              <w:rPr>
                <w:color w:val="auto"/>
              </w:rPr>
              <w:t>Ministerial or Board approval (date declared surplus)</w:t>
            </w:r>
          </w:p>
        </w:tc>
        <w:tc>
          <w:tcPr>
            <w:tcW w:w="5862" w:type="dxa"/>
          </w:tcPr>
          <w:p w14:paraId="33B8DE7E" w14:textId="1FB49A67" w:rsidR="00C35825" w:rsidRPr="00FF4396" w:rsidRDefault="00D052B2" w:rsidP="00F519FA">
            <w:pPr>
              <w:pStyle w:val="DHHStabletext"/>
              <w:cnfStyle w:val="000000000000" w:firstRow="0" w:lastRow="0" w:firstColumn="0" w:lastColumn="0" w:oddVBand="0" w:evenVBand="0" w:oddHBand="0" w:evenHBand="0" w:firstRowFirstColumn="0" w:firstRowLastColumn="0" w:lastRowFirstColumn="0" w:lastRowLastColumn="0"/>
            </w:pPr>
            <w:r w:rsidRPr="00D052B2">
              <w:t>10/02/2014</w:t>
            </w:r>
          </w:p>
        </w:tc>
      </w:tr>
      <w:tr w:rsidR="00C35825" w:rsidRPr="00FF4396" w14:paraId="4B33E809"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6628EDD1" w14:textId="77777777" w:rsidR="00C35825" w:rsidRPr="00577484" w:rsidRDefault="00C35825" w:rsidP="00577484">
            <w:pPr>
              <w:pStyle w:val="DHHStablecolhead"/>
            </w:pPr>
            <w:r w:rsidRPr="00C35825">
              <w:rPr>
                <w:color w:val="auto"/>
              </w:rPr>
              <w:t>Current and former use of asset</w:t>
            </w:r>
          </w:p>
        </w:tc>
        <w:tc>
          <w:tcPr>
            <w:tcW w:w="5862" w:type="dxa"/>
          </w:tcPr>
          <w:p w14:paraId="4B385579"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Currently vacant. Previously a police station</w:t>
            </w:r>
          </w:p>
        </w:tc>
      </w:tr>
      <w:tr w:rsidR="00C35825" w:rsidRPr="00FF4396" w14:paraId="4D8AEA00"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21597C62" w14:textId="77777777" w:rsidR="00C35825" w:rsidRPr="00577484" w:rsidRDefault="00C35825" w:rsidP="00577484">
            <w:pPr>
              <w:pStyle w:val="DHHStablecolhead"/>
            </w:pPr>
            <w:r w:rsidRPr="00C35825">
              <w:rPr>
                <w:color w:val="auto"/>
              </w:rPr>
              <w:t>Registered proprietor (if freehold)</w:t>
            </w:r>
          </w:p>
        </w:tc>
        <w:tc>
          <w:tcPr>
            <w:tcW w:w="5862" w:type="dxa"/>
          </w:tcPr>
          <w:p w14:paraId="010590A6"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Not applicable (Crown land)</w:t>
            </w:r>
          </w:p>
        </w:tc>
      </w:tr>
      <w:tr w:rsidR="00C35825" w:rsidRPr="00FF4396" w14:paraId="0D25BB8D"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653FD698" w14:textId="77777777" w:rsidR="00C35825" w:rsidRPr="00577484" w:rsidRDefault="00C35825" w:rsidP="00577484">
            <w:pPr>
              <w:pStyle w:val="DHHStablecolhead"/>
            </w:pPr>
            <w:r w:rsidRPr="00C35825">
              <w:rPr>
                <w:color w:val="auto"/>
              </w:rPr>
              <w:t>Forecast estimated sale price</w:t>
            </w:r>
          </w:p>
        </w:tc>
        <w:tc>
          <w:tcPr>
            <w:tcW w:w="5862" w:type="dxa"/>
          </w:tcPr>
          <w:p w14:paraId="5D186D4B"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$500,000</w:t>
            </w:r>
          </w:p>
        </w:tc>
      </w:tr>
      <w:tr w:rsidR="00C35825" w:rsidRPr="00FF4396" w14:paraId="2C38CB34"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7B98D9E0" w14:textId="77777777" w:rsidR="00C35825" w:rsidRPr="00577484" w:rsidRDefault="00C35825" w:rsidP="00577484">
            <w:pPr>
              <w:pStyle w:val="DHHStablecolhead"/>
            </w:pPr>
            <w:r w:rsidRPr="00C35825">
              <w:rPr>
                <w:color w:val="auto"/>
              </w:rPr>
              <w:t>Forecast estimated sale year</w:t>
            </w:r>
          </w:p>
        </w:tc>
        <w:tc>
          <w:tcPr>
            <w:tcW w:w="5862" w:type="dxa"/>
          </w:tcPr>
          <w:p w14:paraId="31EB556C"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2015</w:t>
            </w:r>
          </w:p>
        </w:tc>
      </w:tr>
      <w:tr w:rsidR="00C35825" w:rsidRPr="00FF4396" w14:paraId="2D00926F"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19D861DC" w14:textId="77777777" w:rsidR="00C35825" w:rsidRPr="00577484" w:rsidRDefault="00C35825" w:rsidP="00577484">
            <w:pPr>
              <w:pStyle w:val="DHHStablecolhead"/>
            </w:pPr>
            <w:r w:rsidRPr="00C35825">
              <w:rPr>
                <w:color w:val="auto"/>
              </w:rPr>
              <w:t>FROR commenced</w:t>
            </w:r>
          </w:p>
        </w:tc>
        <w:tc>
          <w:tcPr>
            <w:tcW w:w="5862" w:type="dxa"/>
            <w:shd w:val="clear" w:color="auto" w:fill="F2F2F2" w:themeFill="background1" w:themeFillShade="F2"/>
          </w:tcPr>
          <w:p w14:paraId="1D2EF1D7" w14:textId="0CE0A2FC"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 xml:space="preserve">FROR </w:t>
            </w:r>
            <w:r>
              <w:t>use</w:t>
            </w:r>
          </w:p>
        </w:tc>
      </w:tr>
      <w:tr w:rsidR="00C35825" w:rsidRPr="00FF4396" w14:paraId="660B1476"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09FE7130" w14:textId="77777777" w:rsidR="00C35825" w:rsidRPr="00577484" w:rsidRDefault="00C35825" w:rsidP="00577484">
            <w:pPr>
              <w:pStyle w:val="DHHStablecolhead"/>
            </w:pPr>
            <w:r w:rsidRPr="00C35825">
              <w:rPr>
                <w:color w:val="auto"/>
              </w:rPr>
              <w:t>FROR concludes</w:t>
            </w:r>
          </w:p>
        </w:tc>
        <w:tc>
          <w:tcPr>
            <w:tcW w:w="5862" w:type="dxa"/>
            <w:shd w:val="clear" w:color="auto" w:fill="F2F2F2" w:themeFill="background1" w:themeFillShade="F2"/>
          </w:tcPr>
          <w:p w14:paraId="0148EF25" w14:textId="20D95A78"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 xml:space="preserve">FROR </w:t>
            </w:r>
            <w:r>
              <w:t>use</w:t>
            </w:r>
          </w:p>
        </w:tc>
      </w:tr>
      <w:tr w:rsidR="00C35825" w:rsidRPr="00FF4396" w14:paraId="34EFA04C" w14:textId="77777777" w:rsidTr="00577484">
        <w:tc>
          <w:tcPr>
            <w:cnfStyle w:val="001000000000" w:firstRow="0" w:lastRow="0" w:firstColumn="1" w:lastColumn="0" w:oddVBand="0" w:evenVBand="0" w:oddHBand="0" w:evenHBand="0" w:firstRowFirstColumn="0" w:firstRowLastColumn="0" w:lastRowFirstColumn="0" w:lastRowLastColumn="0"/>
            <w:tcW w:w="3544" w:type="dxa"/>
          </w:tcPr>
          <w:p w14:paraId="521CF1A5" w14:textId="77777777" w:rsidR="00C35825" w:rsidRPr="00577484" w:rsidRDefault="00C35825" w:rsidP="00577484">
            <w:pPr>
              <w:pStyle w:val="DHHStablecolhead"/>
            </w:pPr>
            <w:r w:rsidRPr="00C35825">
              <w:rPr>
                <w:color w:val="auto"/>
              </w:rPr>
              <w:t>Relevant agency contact</w:t>
            </w:r>
          </w:p>
        </w:tc>
        <w:tc>
          <w:tcPr>
            <w:tcW w:w="5862" w:type="dxa"/>
          </w:tcPr>
          <w:p w14:paraId="3B6F3922" w14:textId="77777777" w:rsidR="00C35825" w:rsidRPr="00FF4396" w:rsidRDefault="00C35825" w:rsidP="00F519FA">
            <w:pPr>
              <w:pStyle w:val="DHHStabletext"/>
              <w:cnfStyle w:val="000000000000" w:firstRow="0" w:lastRow="0" w:firstColumn="0" w:lastColumn="0" w:oddVBand="0" w:evenVBand="0" w:oddHBand="0" w:evenHBand="0" w:firstRowFirstColumn="0" w:firstRowLastColumn="0" w:lastRowFirstColumn="0" w:lastRowLastColumn="0"/>
            </w:pPr>
            <w:r w:rsidRPr="00FF4396">
              <w:t>mark.french@dtf.vic.gov.au</w:t>
            </w:r>
          </w:p>
        </w:tc>
      </w:tr>
    </w:tbl>
    <w:p w14:paraId="5DC460AB" w14:textId="77777777" w:rsidR="005E7112" w:rsidRPr="00E678AC" w:rsidRDefault="005E7112" w:rsidP="00E678AC">
      <w:pPr>
        <w:pStyle w:val="DHHSbody"/>
      </w:pPr>
    </w:p>
    <w:p w14:paraId="4824AE17" w14:textId="77777777" w:rsidR="00E678AC" w:rsidRPr="00E678AC" w:rsidRDefault="00E678AC" w:rsidP="00E678AC">
      <w:pPr>
        <w:pStyle w:val="DHHSbody"/>
      </w:pPr>
      <w:bookmarkStart w:id="117" w:name="_Toc489625218"/>
      <w:r w:rsidRPr="00E678AC">
        <w:br w:type="page"/>
      </w:r>
    </w:p>
    <w:p w14:paraId="6B90C440" w14:textId="785DF8F4" w:rsidR="005E7112" w:rsidRDefault="005E7112" w:rsidP="005E7112">
      <w:pPr>
        <w:pStyle w:val="Heading1"/>
      </w:pPr>
      <w:bookmarkStart w:id="118" w:name="_Toc42254597"/>
      <w:r>
        <w:lastRenderedPageBreak/>
        <w:t xml:space="preserve">Appendix 5: Valuer-General </w:t>
      </w:r>
      <w:r w:rsidR="00362504">
        <w:t>rental valuation form</w:t>
      </w:r>
      <w:bookmarkEnd w:id="117"/>
      <w:bookmarkEnd w:id="118"/>
    </w:p>
    <w:p w14:paraId="66A0B77B" w14:textId="0FD92485" w:rsidR="00362504" w:rsidRPr="005A2741" w:rsidRDefault="00362504" w:rsidP="00577484">
      <w:pPr>
        <w:pStyle w:val="DHHSbody"/>
      </w:pPr>
      <w:r w:rsidRPr="00362504">
        <w:t>To request a valuation, government agencies or departments must complete the request form.</w:t>
      </w:r>
      <w:r>
        <w:t xml:space="preserve"> The form is available under ‘Requesting a valuation’ on DELWP’s </w:t>
      </w:r>
      <w:hyperlink r:id="rId63" w:history="1">
        <w:r w:rsidRPr="00040AC6">
          <w:rPr>
            <w:rStyle w:val="Hyperlink"/>
          </w:rPr>
          <w:t>Government valuations page</w:t>
        </w:r>
      </w:hyperlink>
      <w:r>
        <w:t xml:space="preserve"> &lt;</w:t>
      </w:r>
      <w:r w:rsidRPr="00040AC6">
        <w:t>https://www.propertyandlandtitles.vic.gov.au/valuation/government-valuations</w:t>
      </w:r>
      <w:r>
        <w:t>&gt;.</w:t>
      </w:r>
    </w:p>
    <w:p w14:paraId="5AFBD6D7" w14:textId="77777777" w:rsidR="000C5510" w:rsidRDefault="000C5510">
      <w:pPr>
        <w:rPr>
          <w:rFonts w:ascii="Arial" w:eastAsia="Times" w:hAnsi="Arial"/>
        </w:rPr>
      </w:pPr>
      <w:r>
        <w:br w:type="page"/>
      </w:r>
    </w:p>
    <w:p w14:paraId="0A6DD139" w14:textId="77777777" w:rsidR="008A36BF" w:rsidRDefault="000C5510" w:rsidP="000C5510">
      <w:pPr>
        <w:pStyle w:val="Heading1"/>
      </w:pPr>
      <w:bookmarkStart w:id="119" w:name="_Toc42254598"/>
      <w:r>
        <w:lastRenderedPageBreak/>
        <w:t>Appendix 6: Image description</w:t>
      </w:r>
      <w:bookmarkEnd w:id="119"/>
    </w:p>
    <w:p w14:paraId="32002663" w14:textId="77777777" w:rsidR="000C5510" w:rsidRDefault="000C5510" w:rsidP="000C5510">
      <w:pPr>
        <w:pStyle w:val="Heading2"/>
      </w:pPr>
      <w:bookmarkStart w:id="120" w:name="_Toc42254599"/>
      <w:r>
        <w:t>Figure 1: Asset lifecycle</w:t>
      </w:r>
      <w:r w:rsidR="00E12732">
        <w:t xml:space="preserve"> stages</w:t>
      </w:r>
      <w:bookmarkEnd w:id="120"/>
    </w:p>
    <w:p w14:paraId="4ACD8406" w14:textId="77777777" w:rsidR="000C5510" w:rsidRDefault="000C5510" w:rsidP="000C5510">
      <w:pPr>
        <w:pStyle w:val="DHHSbody"/>
      </w:pPr>
      <w:r w:rsidRPr="000C5510">
        <w:rPr>
          <w:b/>
          <w:bCs/>
        </w:rPr>
        <w:t>Planning</w:t>
      </w:r>
      <w:r w:rsidRPr="00E12732">
        <w:rPr>
          <w:b/>
          <w:bCs/>
        </w:rPr>
        <w:t>:</w:t>
      </w:r>
    </w:p>
    <w:p w14:paraId="494EAEC6" w14:textId="77777777" w:rsidR="000C5510" w:rsidRDefault="000C5510" w:rsidP="000C5510">
      <w:pPr>
        <w:pStyle w:val="DHHSbullet1"/>
      </w:pPr>
      <w:r>
        <w:t>Asset management strategy</w:t>
      </w:r>
    </w:p>
    <w:p w14:paraId="6A93BE8A" w14:textId="77777777" w:rsidR="000C5510" w:rsidRDefault="000C5510" w:rsidP="000C5510">
      <w:pPr>
        <w:pStyle w:val="DHHSbullet1"/>
      </w:pPr>
      <w:r>
        <w:t>Planning for uncertainty</w:t>
      </w:r>
    </w:p>
    <w:p w14:paraId="4101A174" w14:textId="77777777" w:rsidR="000C5510" w:rsidRDefault="000C5510" w:rsidP="000C5510">
      <w:pPr>
        <w:pStyle w:val="DHHSbullet1"/>
      </w:pPr>
      <w:r>
        <w:t>Business cases</w:t>
      </w:r>
    </w:p>
    <w:p w14:paraId="769BB980" w14:textId="77777777" w:rsidR="000C5510" w:rsidRDefault="000C5510" w:rsidP="000C5510">
      <w:pPr>
        <w:pStyle w:val="DHHSbullet1"/>
      </w:pPr>
      <w:r>
        <w:t>Risk management</w:t>
      </w:r>
    </w:p>
    <w:p w14:paraId="4F2865F3" w14:textId="77777777" w:rsidR="000C5510" w:rsidRDefault="000C5510" w:rsidP="000C5510">
      <w:pPr>
        <w:pStyle w:val="DHHSbullet1"/>
      </w:pPr>
      <w:r>
        <w:t>Cost/benefit analysis</w:t>
      </w:r>
    </w:p>
    <w:p w14:paraId="5BDBFE42" w14:textId="77777777" w:rsidR="000C5510" w:rsidRDefault="000C5510" w:rsidP="000C5510">
      <w:pPr>
        <w:pStyle w:val="DHHSbullet1"/>
      </w:pPr>
      <w:r>
        <w:t>Accounting treatment</w:t>
      </w:r>
    </w:p>
    <w:p w14:paraId="21B601CB" w14:textId="77777777" w:rsidR="000C5510" w:rsidRDefault="000C5510" w:rsidP="000C5510">
      <w:pPr>
        <w:pStyle w:val="DHHSbullet1"/>
      </w:pPr>
      <w:r>
        <w:t>Non-asset alternatives</w:t>
      </w:r>
    </w:p>
    <w:p w14:paraId="5E6F9E16" w14:textId="77777777" w:rsidR="000C5510" w:rsidRDefault="000C5510" w:rsidP="000C5510">
      <w:pPr>
        <w:pStyle w:val="DHHSbodyafterbullets"/>
      </w:pPr>
      <w:r w:rsidRPr="000C5510">
        <w:rPr>
          <w:b/>
          <w:bCs/>
        </w:rPr>
        <w:t>Acquisition</w:t>
      </w:r>
      <w:r>
        <w:rPr>
          <w:b/>
          <w:bCs/>
        </w:rPr>
        <w:t>:</w:t>
      </w:r>
    </w:p>
    <w:p w14:paraId="7B10ADEC" w14:textId="77777777" w:rsidR="000C5510" w:rsidRDefault="000C5510" w:rsidP="000C5510">
      <w:pPr>
        <w:pStyle w:val="DHHSbullet1"/>
      </w:pPr>
      <w:r>
        <w:t>Acquisition process</w:t>
      </w:r>
    </w:p>
    <w:p w14:paraId="49ED2135" w14:textId="77777777" w:rsidR="000C5510" w:rsidRDefault="000C5510" w:rsidP="000C5510">
      <w:pPr>
        <w:pStyle w:val="DHHSbullet1"/>
      </w:pPr>
      <w:r>
        <w:t>Risk evaluation</w:t>
      </w:r>
    </w:p>
    <w:p w14:paraId="291FCC71" w14:textId="77777777" w:rsidR="000C5510" w:rsidRDefault="000C5510" w:rsidP="000C5510">
      <w:pPr>
        <w:pStyle w:val="DHHSbullet1"/>
      </w:pPr>
      <w:r>
        <w:t>Procurement method</w:t>
      </w:r>
    </w:p>
    <w:p w14:paraId="43F2CAE4" w14:textId="77777777" w:rsidR="000C5510" w:rsidRDefault="000C5510" w:rsidP="000C5510">
      <w:pPr>
        <w:pStyle w:val="DHHSbodyafterbullets"/>
      </w:pPr>
      <w:r w:rsidRPr="00E12732">
        <w:rPr>
          <w:b/>
          <w:bCs/>
        </w:rPr>
        <w:t>Disposal</w:t>
      </w:r>
      <w:r w:rsidR="00E12732">
        <w:rPr>
          <w:b/>
          <w:bCs/>
        </w:rPr>
        <w:t>:</w:t>
      </w:r>
    </w:p>
    <w:p w14:paraId="545E5D60" w14:textId="77777777" w:rsidR="000C5510" w:rsidRDefault="000C5510" w:rsidP="000C5510">
      <w:pPr>
        <w:pStyle w:val="DHHSbullet1"/>
      </w:pPr>
      <w:r>
        <w:t>Retirement</w:t>
      </w:r>
    </w:p>
    <w:p w14:paraId="43310FD4" w14:textId="77777777" w:rsidR="000C5510" w:rsidRDefault="000C5510" w:rsidP="000C5510">
      <w:pPr>
        <w:pStyle w:val="DHHSbullet1"/>
      </w:pPr>
      <w:r>
        <w:t>Replacement</w:t>
      </w:r>
    </w:p>
    <w:p w14:paraId="4C391DB1" w14:textId="77777777" w:rsidR="000C5510" w:rsidRDefault="000C5510" w:rsidP="000C5510">
      <w:pPr>
        <w:pStyle w:val="DHHSbullet1"/>
      </w:pPr>
      <w:r>
        <w:t>Renewal</w:t>
      </w:r>
    </w:p>
    <w:p w14:paraId="4634FBCC" w14:textId="77777777" w:rsidR="000C5510" w:rsidRDefault="000C5510" w:rsidP="000C5510">
      <w:pPr>
        <w:pStyle w:val="DHHSbullet1"/>
      </w:pPr>
      <w:r>
        <w:t>Redeployment</w:t>
      </w:r>
    </w:p>
    <w:p w14:paraId="79AC9B8B" w14:textId="77777777" w:rsidR="000C5510" w:rsidRDefault="000C5510" w:rsidP="00E12732">
      <w:pPr>
        <w:pStyle w:val="DHHSbodyafterbullets"/>
      </w:pPr>
      <w:r w:rsidRPr="00E12732">
        <w:rPr>
          <w:b/>
          <w:bCs/>
        </w:rPr>
        <w:t>Operation</w:t>
      </w:r>
      <w:r w:rsidR="00E12732">
        <w:rPr>
          <w:b/>
          <w:bCs/>
        </w:rPr>
        <w:t>:</w:t>
      </w:r>
    </w:p>
    <w:p w14:paraId="6DD82CEA" w14:textId="77777777" w:rsidR="000C5510" w:rsidRDefault="000C5510" w:rsidP="000C5510">
      <w:pPr>
        <w:pStyle w:val="DHHSbullet1"/>
      </w:pPr>
      <w:r>
        <w:t>Monitoring</w:t>
      </w:r>
    </w:p>
    <w:p w14:paraId="193FEBF2" w14:textId="77777777" w:rsidR="000C5510" w:rsidRDefault="000C5510" w:rsidP="000C5510">
      <w:pPr>
        <w:pStyle w:val="DHHSbullet1"/>
      </w:pPr>
      <w:r>
        <w:t>Maintenance</w:t>
      </w:r>
    </w:p>
    <w:p w14:paraId="444B5BC9" w14:textId="77777777" w:rsidR="000C5510" w:rsidRDefault="000C5510" w:rsidP="000C5510">
      <w:pPr>
        <w:pStyle w:val="DHHSbullet1"/>
      </w:pPr>
      <w:r>
        <w:t>Information management</w:t>
      </w:r>
    </w:p>
    <w:p w14:paraId="1A0D02B1" w14:textId="77777777" w:rsidR="000C5510" w:rsidRDefault="000C5510" w:rsidP="000C5510">
      <w:pPr>
        <w:pStyle w:val="DHHSbullet1"/>
      </w:pPr>
      <w:r>
        <w:t>Asset valuation</w:t>
      </w:r>
    </w:p>
    <w:p w14:paraId="002CFD85" w14:textId="77777777" w:rsidR="000C5510" w:rsidRDefault="000C5510" w:rsidP="000C5510">
      <w:pPr>
        <w:pStyle w:val="DHHSbullet1"/>
      </w:pPr>
      <w:r>
        <w:t>Utilisation</w:t>
      </w:r>
    </w:p>
    <w:p w14:paraId="59069A27" w14:textId="77777777" w:rsidR="000C5510" w:rsidRDefault="000C5510" w:rsidP="000C5510">
      <w:pPr>
        <w:pStyle w:val="DHHSbullet1"/>
      </w:pPr>
      <w:r>
        <w:t>Functionality</w:t>
      </w:r>
    </w:p>
    <w:p w14:paraId="6D54A4E8" w14:textId="77777777" w:rsidR="000C5510" w:rsidRPr="00E12732" w:rsidRDefault="000C5510" w:rsidP="00E12732">
      <w:pPr>
        <w:pStyle w:val="DHHSbodyafterbullets"/>
        <w:rPr>
          <w:b/>
          <w:bCs/>
        </w:rPr>
      </w:pPr>
      <w:r w:rsidRPr="00E12732">
        <w:rPr>
          <w:b/>
          <w:bCs/>
        </w:rPr>
        <w:t>Leadership and accountability</w:t>
      </w:r>
      <w:r w:rsidR="00E12732" w:rsidRPr="00E12732">
        <w:rPr>
          <w:b/>
          <w:bCs/>
        </w:rPr>
        <w:t>:</w:t>
      </w:r>
    </w:p>
    <w:p w14:paraId="63473F3B" w14:textId="77777777" w:rsidR="000C5510" w:rsidRDefault="000C5510" w:rsidP="000C5510">
      <w:pPr>
        <w:pStyle w:val="DHHSbullet1"/>
      </w:pPr>
      <w:r>
        <w:t>Governance</w:t>
      </w:r>
    </w:p>
    <w:p w14:paraId="3F51AA74" w14:textId="77777777" w:rsidR="000C5510" w:rsidRDefault="000C5510" w:rsidP="000C5510">
      <w:pPr>
        <w:pStyle w:val="DHHSbullet1"/>
      </w:pPr>
      <w:r>
        <w:t>Attestation</w:t>
      </w:r>
    </w:p>
    <w:p w14:paraId="3B04ECD2" w14:textId="77777777" w:rsidR="000C5510" w:rsidRDefault="000C5510" w:rsidP="000C5510">
      <w:pPr>
        <w:pStyle w:val="DHHSbullet1"/>
      </w:pPr>
      <w:r>
        <w:t>Performance management</w:t>
      </w:r>
    </w:p>
    <w:p w14:paraId="46FE1579" w14:textId="77777777" w:rsidR="000C5510" w:rsidRDefault="000C5510" w:rsidP="000C5510">
      <w:pPr>
        <w:pStyle w:val="DHHSbullet1"/>
      </w:pPr>
      <w:r>
        <w:t>Achievement of government outcomes</w:t>
      </w:r>
    </w:p>
    <w:p w14:paraId="1C8A8CFD" w14:textId="77777777" w:rsidR="000C5510" w:rsidRDefault="000C5510" w:rsidP="000C5510">
      <w:pPr>
        <w:pStyle w:val="DHHSbullet1"/>
      </w:pPr>
      <w:r>
        <w:t>Continuous improvement and flexibility</w:t>
      </w:r>
    </w:p>
    <w:p w14:paraId="0A4F8B13" w14:textId="77777777" w:rsidR="000C5510" w:rsidRPr="000C5510" w:rsidRDefault="000C5510" w:rsidP="000C5510">
      <w:pPr>
        <w:pStyle w:val="DHHSbody"/>
      </w:pPr>
    </w:p>
    <w:sectPr w:rsidR="000C5510" w:rsidRPr="000C5510" w:rsidSect="00BA5E47">
      <w:headerReference w:type="even" r:id="rId64"/>
      <w:headerReference w:type="default" r:id="rId65"/>
      <w:footerReference w:type="even" r:id="rId66"/>
      <w:footerReference w:type="default" r:id="rId67"/>
      <w:footerReference w:type="first" r:id="rId68"/>
      <w:pgSz w:w="11906" w:h="16838"/>
      <w:pgMar w:top="1701" w:right="1304" w:bottom="1134" w:left="1304" w:header="454" w:footer="51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4D89" w16cex:dateUtc="2020-03-29T23:50:00Z"/>
  <w16cex:commentExtensible w16cex:durableId="2225DC7E" w16cex:dateUtc="2020-03-25T02:34:00Z"/>
  <w16cex:commentExtensible w16cex:durableId="2225D8BE" w16cex:dateUtc="2020-03-25T02:18:00Z"/>
  <w16cex:commentExtensible w16cex:durableId="222C5083" w16cex:dateUtc="2020-03-30T00:03:00Z"/>
  <w16cex:commentExtensible w16cex:durableId="22273262" w16cex:dateUtc="2020-03-26T0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E4F3" w14:textId="77777777" w:rsidR="00E25C80" w:rsidRDefault="00E25C80">
      <w:r>
        <w:separator/>
      </w:r>
    </w:p>
  </w:endnote>
  <w:endnote w:type="continuationSeparator" w:id="0">
    <w:p w14:paraId="03862BB2" w14:textId="77777777" w:rsidR="00E25C80" w:rsidRDefault="00E2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heSansLight-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87BD" w14:textId="77777777" w:rsidR="00E25C80" w:rsidRDefault="00E25C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2925" w14:textId="77777777" w:rsidR="00E25C80" w:rsidRPr="001A7E04" w:rsidRDefault="00E25C80" w:rsidP="00614376">
    <w:pPr>
      <w:pStyle w:val="DHHSfooter"/>
    </w:pPr>
    <w:r>
      <w:t>Property management and governance guideline</w:t>
    </w:r>
    <w:r w:rsidRPr="0031753A">
      <w:tab/>
      <w:t xml:space="preserve">Page </w:t>
    </w:r>
    <w:r w:rsidRPr="0031753A">
      <w:fldChar w:fldCharType="begin"/>
    </w:r>
    <w:r w:rsidRPr="0031753A">
      <w:instrText xml:space="preserve"> PAGE </w:instrText>
    </w:r>
    <w:r w:rsidRPr="0031753A">
      <w:fldChar w:fldCharType="separate"/>
    </w:r>
    <w:r>
      <w:rPr>
        <w:noProof/>
      </w:rPr>
      <w:t>30</w:t>
    </w:r>
    <w:r w:rsidRPr="0031753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2339" w14:textId="27C5890B" w:rsidR="00E25C80" w:rsidRPr="008114D1" w:rsidRDefault="00E25C80" w:rsidP="00577484">
    <w:pPr>
      <w:pStyle w:val="Footer"/>
      <w:jc w:val="right"/>
    </w:pPr>
    <w:r>
      <w:t xml:space="preserve">Page </w:t>
    </w:r>
    <w:r>
      <w:fldChar w:fldCharType="begin"/>
    </w:r>
    <w:r>
      <w:instrText xml:space="preserve"> PAGE   \* MERGEFORMAT </w:instrText>
    </w:r>
    <w:r>
      <w:fldChar w:fldCharType="separate"/>
    </w:r>
    <w:r>
      <w:rPr>
        <w:noProof/>
      </w:rPr>
      <w:t>26</w:t>
    </w:r>
    <w:r>
      <w:rPr>
        <w:noProof/>
      </w:rPr>
      <w:fldChar w:fldCharType="end"/>
    </w:r>
    <w:r>
      <w:tab/>
      <w:t>Property divestment checklist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0368" w14:textId="6016E013" w:rsidR="00E25C80" w:rsidRPr="00A11421" w:rsidRDefault="00E25C80" w:rsidP="00614376">
    <w:pPr>
      <w:pStyle w:val="DHHSfooter"/>
    </w:pPr>
    <w:r>
      <w:t>Property divestment checklist</w:t>
    </w:r>
    <w:r w:rsidRPr="00A11421">
      <w:tab/>
    </w:r>
    <w:r>
      <w:t xml:space="preserve">Page </w:t>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61EA" w14:textId="3FCB10DD" w:rsidR="00E25C80" w:rsidRPr="001A7E04" w:rsidRDefault="00E25C80" w:rsidP="00614376">
    <w:pPr>
      <w:pStyle w:val="DHHSfooter"/>
    </w:pPr>
    <w:r>
      <w:rPr>
        <w:noProof/>
        <w:lang w:eastAsia="en-AU"/>
      </w:rPr>
      <w:drawing>
        <wp:anchor distT="0" distB="0" distL="114300" distR="114300" simplePos="0" relativeHeight="251655680" behindDoc="0" locked="1" layoutInCell="0" allowOverlap="1" wp14:anchorId="7C0AEBDA" wp14:editId="0911AA73">
          <wp:simplePos x="0" y="0"/>
          <wp:positionH relativeFrom="page">
            <wp:posOffset>29210</wp:posOffset>
          </wp:positionH>
          <wp:positionV relativeFrom="page">
            <wp:posOffset>9930765</wp:posOffset>
          </wp:positionV>
          <wp:extent cx="7566660" cy="791845"/>
          <wp:effectExtent l="0" t="0" r="0" b="8255"/>
          <wp:wrapNone/>
          <wp:docPr id="6" name="Picture 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791845"/>
                  </a:xfrm>
                  <a:prstGeom prst="rect">
                    <a:avLst/>
                  </a:prstGeom>
                  <a:noFill/>
                </pic:spPr>
              </pic:pic>
            </a:graphicData>
          </a:graphic>
          <wp14:sizeRelH relativeFrom="page">
            <wp14:pctWidth>0</wp14:pctWidth>
          </wp14:sizeRelH>
          <wp14:sizeRelV relativeFrom="page">
            <wp14:pctHeight>0</wp14:pctHeight>
          </wp14:sizeRelV>
        </wp:anchor>
      </w:drawing>
    </w:r>
    <w:r w:rsidDel="004C1C7D">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A7AE" w14:textId="4055491C" w:rsidR="00E25C80" w:rsidRPr="008114D1" w:rsidRDefault="00E25C80" w:rsidP="00E969B1">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ab/>
      <w:t>Property management and governance guidelines</w:t>
    </w:r>
    <w:r w:rsidDel="000A39D7">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96B9" w14:textId="22E27E22" w:rsidR="00E25C80" w:rsidRPr="0031753A" w:rsidRDefault="00E25C80" w:rsidP="00E969B1">
    <w:pPr>
      <w:pStyle w:val="DHHSfooter"/>
    </w:pPr>
    <w:r>
      <w:t>Property management and governance guidelines</w:t>
    </w:r>
    <w:r w:rsidRPr="0031753A" w:rsidDel="000A39D7">
      <w:t xml:space="preserve"> </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1068" w14:textId="77777777" w:rsidR="00E25C80" w:rsidRPr="001A7E04" w:rsidRDefault="00E25C80" w:rsidP="00AC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7369" w14:textId="77777777" w:rsidR="00E25C80" w:rsidRDefault="00E25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4EA7" w14:textId="77777777" w:rsidR="00E25C80" w:rsidRDefault="00E25C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CFE8" w14:textId="5AA9780E" w:rsidR="00E25C80" w:rsidRPr="008114D1" w:rsidRDefault="00E25C80" w:rsidP="00577484">
    <w:pPr>
      <w:pStyle w:val="Footer"/>
      <w:jc w:val="right"/>
    </w:pPr>
    <w:r>
      <w:t xml:space="preserve">Page </w:t>
    </w:r>
    <w:r>
      <w:fldChar w:fldCharType="begin"/>
    </w:r>
    <w:r>
      <w:instrText xml:space="preserve"> PAGE   \* MERGEFORMAT </w:instrText>
    </w:r>
    <w:r>
      <w:fldChar w:fldCharType="separate"/>
    </w:r>
    <w:r>
      <w:rPr>
        <w:noProof/>
      </w:rPr>
      <w:t>26</w:t>
    </w:r>
    <w:r>
      <w:rPr>
        <w:noProof/>
      </w:rPr>
      <w:fldChar w:fldCharType="end"/>
    </w:r>
    <w:r>
      <w:tab/>
      <w:t>Property management and governance guidelines</w:t>
    </w:r>
    <w:r w:rsidDel="003C2C5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DB24" w14:textId="77777777" w:rsidR="00E25C80" w:rsidRPr="0031753A" w:rsidRDefault="00E25C80" w:rsidP="00E969B1">
    <w:pPr>
      <w:pStyle w:val="DHHSfooter"/>
    </w:pPr>
    <w:r>
      <w:t>Property management and governance guidelines</w:t>
    </w:r>
    <w:r w:rsidRPr="0031753A">
      <w:tab/>
      <w:t xml:space="preserve">Page </w:t>
    </w:r>
    <w:r w:rsidRPr="0031753A">
      <w:fldChar w:fldCharType="begin"/>
    </w:r>
    <w:r w:rsidRPr="0031753A">
      <w:instrText xml:space="preserve"> PAGE </w:instrText>
    </w:r>
    <w:r w:rsidRPr="0031753A">
      <w:fldChar w:fldCharType="separate"/>
    </w:r>
    <w:r>
      <w:rPr>
        <w:noProof/>
      </w:rPr>
      <w:t>3</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D6FE" w14:textId="642B846C" w:rsidR="00E25C80" w:rsidRPr="001A7E04" w:rsidRDefault="00E25C80" w:rsidP="00AC0C3B">
    <w:pPr>
      <w:pStyle w:val="Footer"/>
    </w:pPr>
    <w:r>
      <w:rPr>
        <w:noProof/>
        <w:lang w:eastAsia="en-AU"/>
      </w:rPr>
      <w:drawing>
        <wp:anchor distT="0" distB="0" distL="114300" distR="114300" simplePos="0" relativeHeight="251660800" behindDoc="0" locked="0" layoutInCell="0" allowOverlap="1" wp14:anchorId="706CB986" wp14:editId="7CDE5E44">
          <wp:simplePos x="0" y="0"/>
          <wp:positionH relativeFrom="page">
            <wp:posOffset>726</wp:posOffset>
          </wp:positionH>
          <wp:positionV relativeFrom="page">
            <wp:posOffset>9986463</wp:posOffset>
          </wp:positionV>
          <wp:extent cx="7566660" cy="791845"/>
          <wp:effectExtent l="0" t="0" r="0" b="8255"/>
          <wp:wrapNone/>
          <wp:docPr id="7" name="Picture 7"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7918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072F" w14:textId="1C068EBF" w:rsidR="00E25C80" w:rsidRPr="008114D1" w:rsidRDefault="00E25C80" w:rsidP="00577484">
    <w:pPr>
      <w:pStyle w:val="Footer"/>
      <w:jc w:val="right"/>
    </w:pPr>
    <w:r>
      <w:t xml:space="preserve">Page </w:t>
    </w:r>
    <w:r>
      <w:fldChar w:fldCharType="begin"/>
    </w:r>
    <w:r>
      <w:instrText xml:space="preserve"> PAGE   \* MERGEFORMAT </w:instrText>
    </w:r>
    <w:r>
      <w:fldChar w:fldCharType="separate"/>
    </w:r>
    <w:r>
      <w:rPr>
        <w:noProof/>
      </w:rPr>
      <w:t>26</w:t>
    </w:r>
    <w:r>
      <w:rPr>
        <w:noProof/>
      </w:rPr>
      <w:fldChar w:fldCharType="end"/>
    </w:r>
    <w:r>
      <w:tab/>
      <w:t>Property acquisition checklist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1857" w14:textId="65D99223" w:rsidR="00E25C80" w:rsidRPr="00A11421" w:rsidRDefault="00E25C80" w:rsidP="00614376">
    <w:pPr>
      <w:pStyle w:val="DHHSfooter"/>
    </w:pPr>
    <w:r>
      <w:t>Property acquisition checklist</w:t>
    </w:r>
    <w:r w:rsidRPr="00A11421">
      <w:tab/>
    </w:r>
    <w:r>
      <w:t xml:space="preserve">Page </w:t>
    </w:r>
    <w:r w:rsidRPr="00A11421">
      <w:fldChar w:fldCharType="begin"/>
    </w:r>
    <w:r w:rsidRPr="00A11421">
      <w:instrText xml:space="preserve"> PAGE </w:instrText>
    </w:r>
    <w:r w:rsidRPr="00A11421">
      <w:fldChar w:fldCharType="separate"/>
    </w:r>
    <w:r>
      <w:rPr>
        <w:noProof/>
      </w:rPr>
      <w:t>3</w:t>
    </w:r>
    <w:r w:rsidRPr="00A1142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D4B8" w14:textId="77777777" w:rsidR="00E25C80" w:rsidRPr="00A11421" w:rsidRDefault="00E25C80" w:rsidP="00614376">
    <w:pPr>
      <w:pStyle w:val="DHHSfooter"/>
    </w:pPr>
    <w:r>
      <w:t>Property Acquisition Checklist</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D849" w14:textId="77777777" w:rsidR="00E25C80" w:rsidRDefault="00E25C80">
      <w:r>
        <w:separator/>
      </w:r>
    </w:p>
  </w:footnote>
  <w:footnote w:type="continuationSeparator" w:id="0">
    <w:p w14:paraId="628C00DC" w14:textId="77777777" w:rsidR="00E25C80" w:rsidRDefault="00E2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2B43" w14:textId="77777777" w:rsidR="00E25C80" w:rsidRDefault="00E2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1CC1" w14:textId="77777777" w:rsidR="00E25C80" w:rsidRDefault="00E25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1D58" w14:textId="77777777" w:rsidR="00E25C80" w:rsidRDefault="00E25C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7F97" w14:textId="77777777" w:rsidR="00E25C80" w:rsidRPr="0069374A" w:rsidRDefault="00E25C80"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5CDC" w14:textId="77777777" w:rsidR="00E25C80" w:rsidRDefault="00E25C80"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9DD" w14:textId="77777777" w:rsidR="00E25C80" w:rsidRPr="0069374A" w:rsidRDefault="00E25C80" w:rsidP="00E969B1">
    <w:pPr>
      <w:pStyle w:val="DHHS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02A9" w14:textId="77777777" w:rsidR="00E25C80" w:rsidRDefault="00E25C80"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A260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E9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0EF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0F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AA8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E0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EC9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0F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707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85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0B8D43DB"/>
    <w:multiLevelType w:val="multilevel"/>
    <w:tmpl w:val="4B4E7622"/>
    <w:numStyleLink w:val="ZZNumbers"/>
  </w:abstractNum>
  <w:abstractNum w:abstractNumId="12"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2BA0E02"/>
    <w:multiLevelType w:val="hybridMultilevel"/>
    <w:tmpl w:val="1A90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DE6717"/>
    <w:multiLevelType w:val="hybridMultilevel"/>
    <w:tmpl w:val="4E22DF5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940090"/>
    <w:multiLevelType w:val="hybridMultilevel"/>
    <w:tmpl w:val="945C0A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1DB67EA1"/>
    <w:multiLevelType w:val="hybridMultilevel"/>
    <w:tmpl w:val="95FA32D0"/>
    <w:lvl w:ilvl="0" w:tplc="821CD7C0">
      <w:start w:val="1"/>
      <w:numFmt w:val="decimal"/>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28D51B47"/>
    <w:multiLevelType w:val="multilevel"/>
    <w:tmpl w:val="4B4E7622"/>
    <w:numStyleLink w:val="ZZNumbers"/>
  </w:abstractNum>
  <w:abstractNum w:abstractNumId="19"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5F11C8F"/>
    <w:multiLevelType w:val="hybridMultilevel"/>
    <w:tmpl w:val="9362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054060A"/>
    <w:multiLevelType w:val="hybridMultilevel"/>
    <w:tmpl w:val="C47A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D57F4"/>
    <w:multiLevelType w:val="hybridMultilevel"/>
    <w:tmpl w:val="C630A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504A38"/>
    <w:multiLevelType w:val="hybridMultilevel"/>
    <w:tmpl w:val="28EA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E8908C5"/>
    <w:multiLevelType w:val="hybridMultilevel"/>
    <w:tmpl w:val="2E46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D0A38"/>
    <w:multiLevelType w:val="hybridMultilevel"/>
    <w:tmpl w:val="7DAA7B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5B49BA"/>
    <w:multiLevelType w:val="hybridMultilevel"/>
    <w:tmpl w:val="32FA05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52BF7"/>
    <w:multiLevelType w:val="hybridMultilevel"/>
    <w:tmpl w:val="4E22DF5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25444E1"/>
    <w:multiLevelType w:val="hybridMultilevel"/>
    <w:tmpl w:val="296C8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E3C6B"/>
    <w:multiLevelType w:val="hybridMultilevel"/>
    <w:tmpl w:val="30C2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num>
  <w:num w:numId="17">
    <w:abstractNumId w:val="23"/>
  </w:num>
  <w:num w:numId="18">
    <w:abstractNumId w:val="23"/>
  </w:num>
  <w:num w:numId="19">
    <w:abstractNumId w:val="21"/>
  </w:num>
  <w:num w:numId="20">
    <w:abstractNumId w:val="12"/>
  </w:num>
  <w:num w:numId="21">
    <w:abstractNumId w:val="23"/>
  </w:num>
  <w:num w:numId="22">
    <w:abstractNumId w:val="12"/>
  </w:num>
  <w:num w:numId="23">
    <w:abstractNumId w:val="24"/>
  </w:num>
  <w:num w:numId="24">
    <w:abstractNumId w:val="24"/>
  </w:num>
  <w:num w:numId="25">
    <w:abstractNumId w:val="32"/>
  </w:num>
  <w:num w:numId="26">
    <w:abstractNumId w:val="32"/>
  </w:num>
  <w:num w:numId="27">
    <w:abstractNumId w:val="27"/>
  </w:num>
  <w:num w:numId="28">
    <w:abstractNumId w:val="27"/>
  </w:num>
  <w:num w:numId="29">
    <w:abstractNumId w:val="29"/>
  </w:num>
  <w:num w:numId="30">
    <w:abstractNumId w:val="23"/>
  </w:num>
  <w:num w:numId="31">
    <w:abstractNumId w:val="12"/>
  </w:num>
  <w:num w:numId="32">
    <w:abstractNumId w:val="32"/>
  </w:num>
  <w:num w:numId="33">
    <w:abstractNumId w:val="24"/>
  </w:num>
  <w:num w:numId="34">
    <w:abstractNumId w:val="2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37"/>
  </w:num>
  <w:num w:numId="53">
    <w:abstractNumId w:val="15"/>
  </w:num>
  <w:num w:numId="54">
    <w:abstractNumId w:val="25"/>
  </w:num>
  <w:num w:numId="55">
    <w:abstractNumId w:val="17"/>
  </w:num>
  <w:num w:numId="56">
    <w:abstractNumId w:val="35"/>
  </w:num>
  <w:num w:numId="57">
    <w:abstractNumId w:val="28"/>
  </w:num>
  <w:num w:numId="58">
    <w:abstractNumId w:val="30"/>
  </w:num>
  <w:num w:numId="59">
    <w:abstractNumId w:val="31"/>
  </w:num>
  <w:num w:numId="60">
    <w:abstractNumId w:val="20"/>
  </w:num>
  <w:num w:numId="61">
    <w:abstractNumId w:val="26"/>
  </w:num>
  <w:num w:numId="62">
    <w:abstractNumId w:val="13"/>
  </w:num>
  <w:num w:numId="63">
    <w:abstractNumId w:val="9"/>
  </w:num>
  <w:num w:numId="64">
    <w:abstractNumId w:val="7"/>
  </w:num>
  <w:num w:numId="65">
    <w:abstractNumId w:val="6"/>
  </w:num>
  <w:num w:numId="66">
    <w:abstractNumId w:val="5"/>
  </w:num>
  <w:num w:numId="67">
    <w:abstractNumId w:val="4"/>
  </w:num>
  <w:num w:numId="68">
    <w:abstractNumId w:val="8"/>
  </w:num>
  <w:num w:numId="69">
    <w:abstractNumId w:val="3"/>
  </w:num>
  <w:num w:numId="70">
    <w:abstractNumId w:val="2"/>
  </w:num>
  <w:num w:numId="71">
    <w:abstractNumId w:val="1"/>
  </w:num>
  <w:num w:numId="72">
    <w:abstractNumId w:val="0"/>
  </w:num>
  <w:num w:numId="73">
    <w:abstractNumId w:val="14"/>
  </w:num>
  <w:num w:numId="74">
    <w:abstractNumId w:val="34"/>
  </w:num>
  <w:num w:numId="75">
    <w:abstractNumId w:val="10"/>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BF"/>
    <w:rsid w:val="00002990"/>
    <w:rsid w:val="000048AC"/>
    <w:rsid w:val="00012818"/>
    <w:rsid w:val="00014FC4"/>
    <w:rsid w:val="00020AAB"/>
    <w:rsid w:val="000223A4"/>
    <w:rsid w:val="00022E60"/>
    <w:rsid w:val="00026C19"/>
    <w:rsid w:val="00027870"/>
    <w:rsid w:val="00031263"/>
    <w:rsid w:val="00040AC6"/>
    <w:rsid w:val="000476D1"/>
    <w:rsid w:val="000479E3"/>
    <w:rsid w:val="00050C2F"/>
    <w:rsid w:val="0005587D"/>
    <w:rsid w:val="00055CC5"/>
    <w:rsid w:val="0005633B"/>
    <w:rsid w:val="00060E93"/>
    <w:rsid w:val="00064936"/>
    <w:rsid w:val="000734F8"/>
    <w:rsid w:val="000736B8"/>
    <w:rsid w:val="000817CB"/>
    <w:rsid w:val="000873EF"/>
    <w:rsid w:val="000A39D7"/>
    <w:rsid w:val="000B3792"/>
    <w:rsid w:val="000C5510"/>
    <w:rsid w:val="000C6242"/>
    <w:rsid w:val="000C68DB"/>
    <w:rsid w:val="000D2C32"/>
    <w:rsid w:val="000E2978"/>
    <w:rsid w:val="000E6F72"/>
    <w:rsid w:val="000F0478"/>
    <w:rsid w:val="000F0A50"/>
    <w:rsid w:val="00103D5E"/>
    <w:rsid w:val="00104EA7"/>
    <w:rsid w:val="00105FAD"/>
    <w:rsid w:val="0011155B"/>
    <w:rsid w:val="00111A6A"/>
    <w:rsid w:val="00121BF1"/>
    <w:rsid w:val="00125FB7"/>
    <w:rsid w:val="00126787"/>
    <w:rsid w:val="00127A8B"/>
    <w:rsid w:val="00134BE5"/>
    <w:rsid w:val="001412D1"/>
    <w:rsid w:val="001423E3"/>
    <w:rsid w:val="001475EA"/>
    <w:rsid w:val="001504F5"/>
    <w:rsid w:val="001517BD"/>
    <w:rsid w:val="0017248D"/>
    <w:rsid w:val="00173626"/>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C08A9"/>
    <w:rsid w:val="001C122D"/>
    <w:rsid w:val="001C17FC"/>
    <w:rsid w:val="001C475E"/>
    <w:rsid w:val="001D2A82"/>
    <w:rsid w:val="001D569B"/>
    <w:rsid w:val="001E0EA3"/>
    <w:rsid w:val="001E3D0E"/>
    <w:rsid w:val="001E4995"/>
    <w:rsid w:val="001E7A42"/>
    <w:rsid w:val="001F09DC"/>
    <w:rsid w:val="001F43E6"/>
    <w:rsid w:val="00213772"/>
    <w:rsid w:val="00215D68"/>
    <w:rsid w:val="00220749"/>
    <w:rsid w:val="0022422C"/>
    <w:rsid w:val="0022724E"/>
    <w:rsid w:val="00230666"/>
    <w:rsid w:val="00231153"/>
    <w:rsid w:val="0023252E"/>
    <w:rsid w:val="002418AE"/>
    <w:rsid w:val="00241C31"/>
    <w:rsid w:val="0024700B"/>
    <w:rsid w:val="0025420B"/>
    <w:rsid w:val="002563AE"/>
    <w:rsid w:val="0025659E"/>
    <w:rsid w:val="00256E7C"/>
    <w:rsid w:val="0026081C"/>
    <w:rsid w:val="002679D5"/>
    <w:rsid w:val="00267A03"/>
    <w:rsid w:val="002714FD"/>
    <w:rsid w:val="00275F94"/>
    <w:rsid w:val="00281B9C"/>
    <w:rsid w:val="00284C9B"/>
    <w:rsid w:val="00290DEC"/>
    <w:rsid w:val="002A141B"/>
    <w:rsid w:val="002A26B6"/>
    <w:rsid w:val="002A6A4E"/>
    <w:rsid w:val="002B5A85"/>
    <w:rsid w:val="002B63A7"/>
    <w:rsid w:val="002C5139"/>
    <w:rsid w:val="002C5543"/>
    <w:rsid w:val="002D0F7F"/>
    <w:rsid w:val="002E0198"/>
    <w:rsid w:val="002E1D7C"/>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4B54"/>
    <w:rsid w:val="0033739E"/>
    <w:rsid w:val="00343733"/>
    <w:rsid w:val="00355886"/>
    <w:rsid w:val="00356814"/>
    <w:rsid w:val="00360C3D"/>
    <w:rsid w:val="00362504"/>
    <w:rsid w:val="003741AD"/>
    <w:rsid w:val="0038019F"/>
    <w:rsid w:val="00382037"/>
    <w:rsid w:val="00382071"/>
    <w:rsid w:val="003822A7"/>
    <w:rsid w:val="00391C9E"/>
    <w:rsid w:val="003A2F25"/>
    <w:rsid w:val="003A56B7"/>
    <w:rsid w:val="003B2807"/>
    <w:rsid w:val="003C2C55"/>
    <w:rsid w:val="003C68F2"/>
    <w:rsid w:val="003D58B8"/>
    <w:rsid w:val="003D5CFB"/>
    <w:rsid w:val="003E2636"/>
    <w:rsid w:val="003E2E12"/>
    <w:rsid w:val="003F2647"/>
    <w:rsid w:val="003F39CE"/>
    <w:rsid w:val="00401108"/>
    <w:rsid w:val="00402927"/>
    <w:rsid w:val="00407993"/>
    <w:rsid w:val="00410AFD"/>
    <w:rsid w:val="00410EC7"/>
    <w:rsid w:val="00411833"/>
    <w:rsid w:val="00412F64"/>
    <w:rsid w:val="00417BEB"/>
    <w:rsid w:val="00417CC6"/>
    <w:rsid w:val="004324FF"/>
    <w:rsid w:val="00432A55"/>
    <w:rsid w:val="004372B7"/>
    <w:rsid w:val="0044260A"/>
    <w:rsid w:val="00444D82"/>
    <w:rsid w:val="00453EBB"/>
    <w:rsid w:val="004564C6"/>
    <w:rsid w:val="004606F5"/>
    <w:rsid w:val="004610CC"/>
    <w:rsid w:val="00465464"/>
    <w:rsid w:val="00465E87"/>
    <w:rsid w:val="0047786A"/>
    <w:rsid w:val="00477A65"/>
    <w:rsid w:val="00482DB3"/>
    <w:rsid w:val="004A0236"/>
    <w:rsid w:val="004A10D7"/>
    <w:rsid w:val="004A369A"/>
    <w:rsid w:val="004A3B3E"/>
    <w:rsid w:val="004B4963"/>
    <w:rsid w:val="004C14C6"/>
    <w:rsid w:val="004C1B54"/>
    <w:rsid w:val="004C1C7D"/>
    <w:rsid w:val="004C278E"/>
    <w:rsid w:val="004C5777"/>
    <w:rsid w:val="004D0173"/>
    <w:rsid w:val="004D032A"/>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0BE"/>
    <w:rsid w:val="005022C9"/>
    <w:rsid w:val="00502B8F"/>
    <w:rsid w:val="005073F9"/>
    <w:rsid w:val="0050779D"/>
    <w:rsid w:val="005139EA"/>
    <w:rsid w:val="00520BBB"/>
    <w:rsid w:val="00524310"/>
    <w:rsid w:val="00525456"/>
    <w:rsid w:val="00532236"/>
    <w:rsid w:val="005338EA"/>
    <w:rsid w:val="00541DFE"/>
    <w:rsid w:val="00543E6C"/>
    <w:rsid w:val="00544184"/>
    <w:rsid w:val="00551789"/>
    <w:rsid w:val="00553F68"/>
    <w:rsid w:val="005552FD"/>
    <w:rsid w:val="005600E5"/>
    <w:rsid w:val="005640FF"/>
    <w:rsid w:val="00564E8F"/>
    <w:rsid w:val="005728A4"/>
    <w:rsid w:val="00574D89"/>
    <w:rsid w:val="005763FC"/>
    <w:rsid w:val="00576EB4"/>
    <w:rsid w:val="00577484"/>
    <w:rsid w:val="00577B30"/>
    <w:rsid w:val="00582768"/>
    <w:rsid w:val="00583461"/>
    <w:rsid w:val="005856A4"/>
    <w:rsid w:val="00590730"/>
    <w:rsid w:val="005A2741"/>
    <w:rsid w:val="005A3051"/>
    <w:rsid w:val="005A53FE"/>
    <w:rsid w:val="005A5491"/>
    <w:rsid w:val="005B7D22"/>
    <w:rsid w:val="005C029E"/>
    <w:rsid w:val="005E085D"/>
    <w:rsid w:val="005E3FA7"/>
    <w:rsid w:val="005E7112"/>
    <w:rsid w:val="005E7963"/>
    <w:rsid w:val="005F218C"/>
    <w:rsid w:val="005F4523"/>
    <w:rsid w:val="00601D4D"/>
    <w:rsid w:val="006021B4"/>
    <w:rsid w:val="00605B5B"/>
    <w:rsid w:val="006062D8"/>
    <w:rsid w:val="00606827"/>
    <w:rsid w:val="00614376"/>
    <w:rsid w:val="00620262"/>
    <w:rsid w:val="00621B4C"/>
    <w:rsid w:val="00625187"/>
    <w:rsid w:val="00627C52"/>
    <w:rsid w:val="00630937"/>
    <w:rsid w:val="00653B84"/>
    <w:rsid w:val="00653E0D"/>
    <w:rsid w:val="00654481"/>
    <w:rsid w:val="006865C8"/>
    <w:rsid w:val="00686B48"/>
    <w:rsid w:val="00687038"/>
    <w:rsid w:val="0068714E"/>
    <w:rsid w:val="006872F5"/>
    <w:rsid w:val="006929F7"/>
    <w:rsid w:val="0069374A"/>
    <w:rsid w:val="00694AB8"/>
    <w:rsid w:val="00695EF7"/>
    <w:rsid w:val="0069699D"/>
    <w:rsid w:val="006B2C51"/>
    <w:rsid w:val="006B6361"/>
    <w:rsid w:val="006B6EDA"/>
    <w:rsid w:val="006B7A00"/>
    <w:rsid w:val="006C1C73"/>
    <w:rsid w:val="006C75D9"/>
    <w:rsid w:val="006D24CE"/>
    <w:rsid w:val="006D360C"/>
    <w:rsid w:val="006D5AC9"/>
    <w:rsid w:val="006D66ED"/>
    <w:rsid w:val="006D6EDB"/>
    <w:rsid w:val="006E786B"/>
    <w:rsid w:val="006F3E0E"/>
    <w:rsid w:val="007002B1"/>
    <w:rsid w:val="00704EB7"/>
    <w:rsid w:val="00705742"/>
    <w:rsid w:val="007104FE"/>
    <w:rsid w:val="00711B0C"/>
    <w:rsid w:val="007121A2"/>
    <w:rsid w:val="00713981"/>
    <w:rsid w:val="007176D6"/>
    <w:rsid w:val="007250F2"/>
    <w:rsid w:val="00727D54"/>
    <w:rsid w:val="00731EF2"/>
    <w:rsid w:val="007344C5"/>
    <w:rsid w:val="00734959"/>
    <w:rsid w:val="00735137"/>
    <w:rsid w:val="0073520D"/>
    <w:rsid w:val="00780226"/>
    <w:rsid w:val="00781AB4"/>
    <w:rsid w:val="007874C8"/>
    <w:rsid w:val="007923B7"/>
    <w:rsid w:val="00792616"/>
    <w:rsid w:val="007926BB"/>
    <w:rsid w:val="0079344C"/>
    <w:rsid w:val="007968AE"/>
    <w:rsid w:val="007A0283"/>
    <w:rsid w:val="007C02C7"/>
    <w:rsid w:val="007C21EE"/>
    <w:rsid w:val="007D3A2E"/>
    <w:rsid w:val="007D6652"/>
    <w:rsid w:val="007E245D"/>
    <w:rsid w:val="007E343D"/>
    <w:rsid w:val="007F4383"/>
    <w:rsid w:val="007F5858"/>
    <w:rsid w:val="007F6862"/>
    <w:rsid w:val="00801601"/>
    <w:rsid w:val="0080169A"/>
    <w:rsid w:val="008036A7"/>
    <w:rsid w:val="00810991"/>
    <w:rsid w:val="00814A9B"/>
    <w:rsid w:val="00814F66"/>
    <w:rsid w:val="00817C9E"/>
    <w:rsid w:val="008205AF"/>
    <w:rsid w:val="008225E5"/>
    <w:rsid w:val="0082523D"/>
    <w:rsid w:val="00831053"/>
    <w:rsid w:val="008314D2"/>
    <w:rsid w:val="0083254D"/>
    <w:rsid w:val="00836249"/>
    <w:rsid w:val="00836F00"/>
    <w:rsid w:val="00846192"/>
    <w:rsid w:val="00850806"/>
    <w:rsid w:val="008516B0"/>
    <w:rsid w:val="00856A1B"/>
    <w:rsid w:val="008621C3"/>
    <w:rsid w:val="00865486"/>
    <w:rsid w:val="008669BE"/>
    <w:rsid w:val="00871F0C"/>
    <w:rsid w:val="00873EE8"/>
    <w:rsid w:val="00876275"/>
    <w:rsid w:val="00882B99"/>
    <w:rsid w:val="00886121"/>
    <w:rsid w:val="008A295B"/>
    <w:rsid w:val="008A32F7"/>
    <w:rsid w:val="008A36BF"/>
    <w:rsid w:val="008A5B97"/>
    <w:rsid w:val="008A6604"/>
    <w:rsid w:val="008B1C73"/>
    <w:rsid w:val="008B5482"/>
    <w:rsid w:val="008C11F4"/>
    <w:rsid w:val="008C2BEC"/>
    <w:rsid w:val="008C6523"/>
    <w:rsid w:val="008C6D0E"/>
    <w:rsid w:val="008D09D2"/>
    <w:rsid w:val="008D39C5"/>
    <w:rsid w:val="008E1D89"/>
    <w:rsid w:val="008E249F"/>
    <w:rsid w:val="008E3E3E"/>
    <w:rsid w:val="008F5F87"/>
    <w:rsid w:val="00900A34"/>
    <w:rsid w:val="00906132"/>
    <w:rsid w:val="00907073"/>
    <w:rsid w:val="009120E4"/>
    <w:rsid w:val="00913D72"/>
    <w:rsid w:val="009208F5"/>
    <w:rsid w:val="00927D51"/>
    <w:rsid w:val="0093079D"/>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64"/>
    <w:rsid w:val="009963CD"/>
    <w:rsid w:val="009B266D"/>
    <w:rsid w:val="009B5CBF"/>
    <w:rsid w:val="009C184A"/>
    <w:rsid w:val="009C2CA5"/>
    <w:rsid w:val="009D3E45"/>
    <w:rsid w:val="009D5846"/>
    <w:rsid w:val="009D75D0"/>
    <w:rsid w:val="009F351F"/>
    <w:rsid w:val="009F3F89"/>
    <w:rsid w:val="009F480E"/>
    <w:rsid w:val="00A022A2"/>
    <w:rsid w:val="00A02D15"/>
    <w:rsid w:val="00A11403"/>
    <w:rsid w:val="00A26B0D"/>
    <w:rsid w:val="00A3735A"/>
    <w:rsid w:val="00A42F1B"/>
    <w:rsid w:val="00A44EBE"/>
    <w:rsid w:val="00A546BC"/>
    <w:rsid w:val="00A55989"/>
    <w:rsid w:val="00A5694A"/>
    <w:rsid w:val="00A61640"/>
    <w:rsid w:val="00A63DA4"/>
    <w:rsid w:val="00A74743"/>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3203"/>
    <w:rsid w:val="00B05457"/>
    <w:rsid w:val="00B057F5"/>
    <w:rsid w:val="00B066B1"/>
    <w:rsid w:val="00B128A0"/>
    <w:rsid w:val="00B20240"/>
    <w:rsid w:val="00B20624"/>
    <w:rsid w:val="00B23281"/>
    <w:rsid w:val="00B2614A"/>
    <w:rsid w:val="00B27571"/>
    <w:rsid w:val="00B33C41"/>
    <w:rsid w:val="00B3438C"/>
    <w:rsid w:val="00B34BA5"/>
    <w:rsid w:val="00B356F0"/>
    <w:rsid w:val="00B4164B"/>
    <w:rsid w:val="00B5409A"/>
    <w:rsid w:val="00B55574"/>
    <w:rsid w:val="00B6525D"/>
    <w:rsid w:val="00B65ABA"/>
    <w:rsid w:val="00B67097"/>
    <w:rsid w:val="00B6790F"/>
    <w:rsid w:val="00B71B3B"/>
    <w:rsid w:val="00B76E06"/>
    <w:rsid w:val="00B773A1"/>
    <w:rsid w:val="00B84D7A"/>
    <w:rsid w:val="00B853DB"/>
    <w:rsid w:val="00B85D13"/>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08B3"/>
    <w:rsid w:val="00C01909"/>
    <w:rsid w:val="00C025CF"/>
    <w:rsid w:val="00C05787"/>
    <w:rsid w:val="00C11871"/>
    <w:rsid w:val="00C13059"/>
    <w:rsid w:val="00C156D4"/>
    <w:rsid w:val="00C167A3"/>
    <w:rsid w:val="00C2181C"/>
    <w:rsid w:val="00C2657D"/>
    <w:rsid w:val="00C26A87"/>
    <w:rsid w:val="00C35825"/>
    <w:rsid w:val="00C3745D"/>
    <w:rsid w:val="00C416E1"/>
    <w:rsid w:val="00C47BF8"/>
    <w:rsid w:val="00C51B1C"/>
    <w:rsid w:val="00C53DCE"/>
    <w:rsid w:val="00C6469B"/>
    <w:rsid w:val="00C655F2"/>
    <w:rsid w:val="00C65B4C"/>
    <w:rsid w:val="00C65B61"/>
    <w:rsid w:val="00C70E53"/>
    <w:rsid w:val="00C72979"/>
    <w:rsid w:val="00C81529"/>
    <w:rsid w:val="00C81BA6"/>
    <w:rsid w:val="00C8377C"/>
    <w:rsid w:val="00C877CD"/>
    <w:rsid w:val="00C902E9"/>
    <w:rsid w:val="00C908B7"/>
    <w:rsid w:val="00C91D81"/>
    <w:rsid w:val="00C92A42"/>
    <w:rsid w:val="00C9300C"/>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052B2"/>
    <w:rsid w:val="00D26A36"/>
    <w:rsid w:val="00D311AB"/>
    <w:rsid w:val="00D32290"/>
    <w:rsid w:val="00D325A8"/>
    <w:rsid w:val="00D442AD"/>
    <w:rsid w:val="00D5618A"/>
    <w:rsid w:val="00D5784B"/>
    <w:rsid w:val="00D63EFB"/>
    <w:rsid w:val="00D658AF"/>
    <w:rsid w:val="00D70A79"/>
    <w:rsid w:val="00D83DE9"/>
    <w:rsid w:val="00D8450D"/>
    <w:rsid w:val="00D84C4D"/>
    <w:rsid w:val="00D95AF9"/>
    <w:rsid w:val="00DA09C9"/>
    <w:rsid w:val="00DA1822"/>
    <w:rsid w:val="00DB31BE"/>
    <w:rsid w:val="00DB5E1F"/>
    <w:rsid w:val="00DC19D8"/>
    <w:rsid w:val="00DC2613"/>
    <w:rsid w:val="00DC4512"/>
    <w:rsid w:val="00DD3691"/>
    <w:rsid w:val="00DD4B55"/>
    <w:rsid w:val="00DE1E90"/>
    <w:rsid w:val="00DE24E6"/>
    <w:rsid w:val="00DE5C8A"/>
    <w:rsid w:val="00DF07AD"/>
    <w:rsid w:val="00DF3364"/>
    <w:rsid w:val="00E055BB"/>
    <w:rsid w:val="00E11988"/>
    <w:rsid w:val="00E12732"/>
    <w:rsid w:val="00E14E5C"/>
    <w:rsid w:val="00E15DA9"/>
    <w:rsid w:val="00E2095D"/>
    <w:rsid w:val="00E25C80"/>
    <w:rsid w:val="00E26D81"/>
    <w:rsid w:val="00E30414"/>
    <w:rsid w:val="00E35F14"/>
    <w:rsid w:val="00E40769"/>
    <w:rsid w:val="00E42E8B"/>
    <w:rsid w:val="00E60F12"/>
    <w:rsid w:val="00E652FB"/>
    <w:rsid w:val="00E66C20"/>
    <w:rsid w:val="00E678AC"/>
    <w:rsid w:val="00E71C46"/>
    <w:rsid w:val="00E731B7"/>
    <w:rsid w:val="00E75ED2"/>
    <w:rsid w:val="00E8280C"/>
    <w:rsid w:val="00E83E4C"/>
    <w:rsid w:val="00E91933"/>
    <w:rsid w:val="00E92A81"/>
    <w:rsid w:val="00E969B1"/>
    <w:rsid w:val="00EB6552"/>
    <w:rsid w:val="00EC18E6"/>
    <w:rsid w:val="00EC1984"/>
    <w:rsid w:val="00EC234C"/>
    <w:rsid w:val="00ED3529"/>
    <w:rsid w:val="00ED4D17"/>
    <w:rsid w:val="00EE6154"/>
    <w:rsid w:val="00EE6CD3"/>
    <w:rsid w:val="00EF20D7"/>
    <w:rsid w:val="00EF3419"/>
    <w:rsid w:val="00EF4660"/>
    <w:rsid w:val="00EF7FEF"/>
    <w:rsid w:val="00F0119C"/>
    <w:rsid w:val="00F02BDB"/>
    <w:rsid w:val="00F0441B"/>
    <w:rsid w:val="00F07623"/>
    <w:rsid w:val="00F07D0B"/>
    <w:rsid w:val="00F2073E"/>
    <w:rsid w:val="00F3136B"/>
    <w:rsid w:val="00F314F1"/>
    <w:rsid w:val="00F327EA"/>
    <w:rsid w:val="00F332AC"/>
    <w:rsid w:val="00F33641"/>
    <w:rsid w:val="00F36995"/>
    <w:rsid w:val="00F42842"/>
    <w:rsid w:val="00F43EE0"/>
    <w:rsid w:val="00F46E40"/>
    <w:rsid w:val="00F4760A"/>
    <w:rsid w:val="00F519FA"/>
    <w:rsid w:val="00F529FE"/>
    <w:rsid w:val="00F52B13"/>
    <w:rsid w:val="00F52B8E"/>
    <w:rsid w:val="00F53CFD"/>
    <w:rsid w:val="00F54AF5"/>
    <w:rsid w:val="00F557E3"/>
    <w:rsid w:val="00F61E78"/>
    <w:rsid w:val="00F635C5"/>
    <w:rsid w:val="00F736E3"/>
    <w:rsid w:val="00F75A6D"/>
    <w:rsid w:val="00F767E8"/>
    <w:rsid w:val="00F86A3F"/>
    <w:rsid w:val="00F91297"/>
    <w:rsid w:val="00F9133B"/>
    <w:rsid w:val="00F97730"/>
    <w:rsid w:val="00FB32A4"/>
    <w:rsid w:val="00FB385B"/>
    <w:rsid w:val="00FB3969"/>
    <w:rsid w:val="00FB594D"/>
    <w:rsid w:val="00FC3017"/>
    <w:rsid w:val="00FC49BB"/>
    <w:rsid w:val="00FD5876"/>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7DEE05"/>
  <w15:docId w15:val="{53FEF98A-D168-412E-A1F8-6F961FE8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1"/>
    <w:qFormat/>
    <w:rsid w:val="004606F5"/>
    <w:pPr>
      <w:keepNext/>
      <w:keepLines/>
      <w:spacing w:before="520" w:after="440" w:line="440" w:lineRule="atLeast"/>
      <w:outlineLvl w:val="0"/>
    </w:pPr>
    <w:rPr>
      <w:rFonts w:ascii="Arial" w:hAnsi="Arial"/>
      <w:bCs/>
      <w:color w:val="0074BC" w:themeColor="text2"/>
      <w:sz w:val="44"/>
      <w:szCs w:val="44"/>
      <w:lang w:eastAsia="en-US"/>
    </w:rPr>
  </w:style>
  <w:style w:type="paragraph" w:styleId="Heading2">
    <w:name w:val="heading 2"/>
    <w:next w:val="DHHSbody"/>
    <w:link w:val="Heading2Char"/>
    <w:uiPriority w:val="1"/>
    <w:qFormat/>
    <w:rsid w:val="004606F5"/>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606F5"/>
    <w:rPr>
      <w:rFonts w:ascii="Arial" w:hAnsi="Arial"/>
      <w:bCs/>
      <w:color w:val="0074BC" w:themeColor="text2"/>
      <w:sz w:val="44"/>
      <w:szCs w:val="44"/>
      <w:lang w:eastAsia="en-US"/>
    </w:rPr>
  </w:style>
  <w:style w:type="character" w:customStyle="1" w:styleId="Heading2Char">
    <w:name w:val="Heading 2 Char"/>
    <w:link w:val="Heading2"/>
    <w:uiPriority w:val="1"/>
    <w:rsid w:val="004606F5"/>
    <w:rPr>
      <w:rFonts w:ascii="Arial" w:hAnsi="Arial"/>
      <w:b/>
      <w:color w:val="0074BC" w:themeColor="text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8E249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0074BC" w:themeFill="accent1"/>
      </w:tcPr>
    </w:tblStylePr>
    <w:tblStylePr w:type="firstCol">
      <w:tblPr/>
      <w:tcPr>
        <w:shd w:val="clear" w:color="auto" w:fill="F9F9F9"/>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semiHidden/>
    <w:unhideWhenUsed/>
    <w:rsid w:val="00125FB7"/>
    <w:rPr>
      <w:color w:val="605E5C"/>
      <w:shd w:val="clear" w:color="auto" w:fill="E1DFDD"/>
    </w:rPr>
  </w:style>
  <w:style w:type="paragraph" w:styleId="Caption">
    <w:name w:val="caption"/>
    <w:basedOn w:val="Normal"/>
    <w:next w:val="Normal"/>
    <w:unhideWhenUsed/>
    <w:qFormat/>
    <w:rsid w:val="00027870"/>
    <w:pPr>
      <w:spacing w:after="200"/>
    </w:pPr>
    <w:rPr>
      <w:i/>
      <w:iCs/>
      <w:color w:val="0074BC" w:themeColor="text2"/>
      <w:sz w:val="18"/>
      <w:szCs w:val="18"/>
    </w:rPr>
  </w:style>
  <w:style w:type="paragraph" w:customStyle="1" w:styleId="DHHSbullet1lastline">
    <w:name w:val="DHHS bullet 1 last line"/>
    <w:basedOn w:val="DHHSbullet1"/>
    <w:qFormat/>
    <w:rsid w:val="005E7112"/>
    <w:pPr>
      <w:numPr>
        <w:numId w:val="0"/>
      </w:numPr>
      <w:spacing w:after="120"/>
      <w:ind w:left="284" w:hanging="284"/>
    </w:pPr>
  </w:style>
  <w:style w:type="paragraph" w:customStyle="1" w:styleId="DHHSbullet2lastline">
    <w:name w:val="DHHS bullet 2 last line"/>
    <w:basedOn w:val="DHHSbullet2"/>
    <w:uiPriority w:val="2"/>
    <w:qFormat/>
    <w:rsid w:val="005E7112"/>
    <w:pPr>
      <w:numPr>
        <w:ilvl w:val="0"/>
        <w:numId w:val="0"/>
      </w:numPr>
      <w:spacing w:after="120"/>
      <w:ind w:left="567" w:hanging="283"/>
    </w:pPr>
  </w:style>
  <w:style w:type="paragraph" w:customStyle="1" w:styleId="DHHStablebullet">
    <w:name w:val="DHHS table bullet"/>
    <w:basedOn w:val="DHHStabletext"/>
    <w:uiPriority w:val="3"/>
    <w:qFormat/>
    <w:rsid w:val="005E7112"/>
    <w:pPr>
      <w:ind w:left="227" w:hanging="227"/>
    </w:pPr>
  </w:style>
  <w:style w:type="paragraph" w:customStyle="1" w:styleId="DHHSbulletindent">
    <w:name w:val="DHHS bullet indent"/>
    <w:basedOn w:val="DHHSbody"/>
    <w:uiPriority w:val="4"/>
    <w:rsid w:val="005E7112"/>
    <w:pPr>
      <w:spacing w:after="40"/>
      <w:ind w:left="680" w:hanging="283"/>
    </w:pPr>
  </w:style>
  <w:style w:type="paragraph" w:customStyle="1" w:styleId="DHHSbulletindentlastline">
    <w:name w:val="DHHS bullet indent last line"/>
    <w:basedOn w:val="DHHSbody"/>
    <w:uiPriority w:val="4"/>
    <w:rsid w:val="005E7112"/>
    <w:pPr>
      <w:ind w:left="680" w:hanging="283"/>
    </w:pPr>
  </w:style>
  <w:style w:type="numbering" w:customStyle="1" w:styleId="ZZNumbers">
    <w:name w:val="ZZ Numbers"/>
    <w:rsid w:val="005E7112"/>
    <w:pPr>
      <w:numPr>
        <w:numId w:val="39"/>
      </w:numPr>
    </w:pPr>
  </w:style>
  <w:style w:type="paragraph" w:customStyle="1" w:styleId="Healthbody">
    <w:name w:val="Health body"/>
    <w:rsid w:val="005E7112"/>
    <w:pPr>
      <w:spacing w:after="120" w:line="270" w:lineRule="atLeast"/>
    </w:pPr>
    <w:rPr>
      <w:rFonts w:ascii="Arial" w:hAnsi="Arial"/>
      <w:lang w:eastAsia="en-US"/>
    </w:rPr>
  </w:style>
  <w:style w:type="character" w:customStyle="1" w:styleId="HeaderChar">
    <w:name w:val="Header Char"/>
    <w:link w:val="Header"/>
    <w:uiPriority w:val="98"/>
    <w:locked/>
    <w:rsid w:val="005E7112"/>
    <w:rPr>
      <w:rFonts w:ascii="Arial" w:hAnsi="Arial" w:cs="Arial"/>
      <w:sz w:val="18"/>
      <w:szCs w:val="18"/>
      <w:lang w:eastAsia="en-US"/>
    </w:rPr>
  </w:style>
  <w:style w:type="character" w:customStyle="1" w:styleId="lightitlic">
    <w:name w:val="light itlic"/>
    <w:rsid w:val="005E7112"/>
    <w:rPr>
      <w:rFonts w:ascii="TheSansLight-Italic" w:hAnsi="TheSansLight-Italic"/>
      <w:i/>
    </w:rPr>
  </w:style>
  <w:style w:type="paragraph" w:customStyle="1" w:styleId="Healthbullet1">
    <w:name w:val="Health bullet 1"/>
    <w:basedOn w:val="Normal"/>
    <w:rsid w:val="005E7112"/>
    <w:pPr>
      <w:spacing w:after="40" w:line="270" w:lineRule="atLeast"/>
      <w:ind w:left="284" w:hanging="284"/>
    </w:pPr>
    <w:rPr>
      <w:rFonts w:ascii="Arial" w:eastAsia="MS Mincho" w:hAnsi="Arial"/>
      <w:szCs w:val="24"/>
    </w:rPr>
  </w:style>
  <w:style w:type="paragraph" w:styleId="ListParagraph">
    <w:name w:val="List Paragraph"/>
    <w:basedOn w:val="Normal"/>
    <w:qFormat/>
    <w:rsid w:val="005E7112"/>
    <w:pPr>
      <w:ind w:left="720"/>
      <w:contextualSpacing/>
    </w:pPr>
    <w:rPr>
      <w:rFonts w:ascii="Times" w:eastAsia="MS Mincho" w:hAnsi="Times"/>
    </w:rPr>
  </w:style>
  <w:style w:type="paragraph" w:customStyle="1" w:styleId="Default">
    <w:name w:val="Default"/>
    <w:rsid w:val="005E7112"/>
    <w:pPr>
      <w:autoSpaceDE w:val="0"/>
      <w:autoSpaceDN w:val="0"/>
      <w:adjustRightInd w:val="0"/>
    </w:pPr>
    <w:rPr>
      <w:rFonts w:ascii="Calibri" w:hAnsi="Calibri" w:cs="Calibri"/>
      <w:color w:val="000000"/>
      <w:sz w:val="24"/>
      <w:szCs w:val="24"/>
    </w:rPr>
  </w:style>
  <w:style w:type="table" w:styleId="LightList-Accent1">
    <w:name w:val="Light List Accent 1"/>
    <w:basedOn w:val="TableNormal"/>
    <w:uiPriority w:val="61"/>
    <w:rsid w:val="005E71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Shading-Accent1">
    <w:name w:val="Colorful Shading Accent 1"/>
    <w:basedOn w:val="TableNormal"/>
    <w:uiPriority w:val="71"/>
    <w:rsid w:val="005E711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1">
    <w:name w:val="Light Shading Accent 1"/>
    <w:basedOn w:val="TableNormal"/>
    <w:uiPriority w:val="60"/>
    <w:rsid w:val="005E711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1">
    <w:name w:val="Medium Grid 3 Accent 1"/>
    <w:basedOn w:val="TableNormal"/>
    <w:uiPriority w:val="69"/>
    <w:rsid w:val="005E71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alloonText">
    <w:name w:val="Balloon Text"/>
    <w:basedOn w:val="Normal"/>
    <w:link w:val="BalloonTextChar"/>
    <w:uiPriority w:val="99"/>
    <w:semiHidden/>
    <w:unhideWhenUsed/>
    <w:rsid w:val="005E7112"/>
    <w:rPr>
      <w:rFonts w:ascii="Tahoma" w:hAnsi="Tahoma" w:cs="Tahoma"/>
      <w:sz w:val="16"/>
      <w:szCs w:val="16"/>
    </w:rPr>
  </w:style>
  <w:style w:type="character" w:customStyle="1" w:styleId="BalloonTextChar">
    <w:name w:val="Balloon Text Char"/>
    <w:basedOn w:val="DefaultParagraphFont"/>
    <w:link w:val="BalloonText"/>
    <w:uiPriority w:val="99"/>
    <w:semiHidden/>
    <w:rsid w:val="005E7112"/>
    <w:rPr>
      <w:rFonts w:ascii="Tahoma" w:hAnsi="Tahoma" w:cs="Tahoma"/>
      <w:sz w:val="16"/>
      <w:szCs w:val="16"/>
      <w:lang w:eastAsia="en-US"/>
    </w:rPr>
  </w:style>
  <w:style w:type="character" w:customStyle="1" w:styleId="FooterChar">
    <w:name w:val="Footer Char"/>
    <w:link w:val="Footer"/>
    <w:uiPriority w:val="99"/>
    <w:rsid w:val="005E7112"/>
    <w:rPr>
      <w:rFonts w:ascii="Arial" w:hAnsi="Arial" w:cs="Arial"/>
      <w:sz w:val="18"/>
      <w:szCs w:val="18"/>
      <w:lang w:eastAsia="en-US"/>
    </w:rPr>
  </w:style>
  <w:style w:type="paragraph" w:customStyle="1" w:styleId="DHHSTOCheadingfactsheet">
    <w:name w:val="DHHS TOC heading fact sheet"/>
    <w:basedOn w:val="Heading2"/>
    <w:next w:val="DHHSbody"/>
    <w:link w:val="DHHSTOCheadingfactsheetChar"/>
    <w:uiPriority w:val="4"/>
    <w:rsid w:val="005E7112"/>
    <w:pPr>
      <w:spacing w:before="0" w:after="200"/>
      <w:outlineLvl w:val="9"/>
    </w:pPr>
    <w:rPr>
      <w:color w:val="007B4B"/>
    </w:rPr>
  </w:style>
  <w:style w:type="character" w:customStyle="1" w:styleId="DHHSTOCheadingfactsheetChar">
    <w:name w:val="DHHS TOC heading fact sheet Char"/>
    <w:link w:val="DHHSTOCheadingfactsheet"/>
    <w:uiPriority w:val="4"/>
    <w:rsid w:val="005E7112"/>
    <w:rPr>
      <w:rFonts w:ascii="Arial" w:hAnsi="Arial"/>
      <w:b/>
      <w:color w:val="007B4B"/>
      <w:sz w:val="28"/>
      <w:szCs w:val="28"/>
      <w:lang w:eastAsia="en-US"/>
    </w:rPr>
  </w:style>
  <w:style w:type="paragraph" w:customStyle="1" w:styleId="Sectionbreakfirstpage">
    <w:name w:val="Section break first page"/>
    <w:uiPriority w:val="5"/>
    <w:rsid w:val="005E7112"/>
    <w:pPr>
      <w:spacing w:after="400"/>
    </w:pPr>
    <w:rPr>
      <w:rFonts w:ascii="Arial" w:hAnsi="Arial"/>
      <w:lang w:eastAsia="en-US"/>
    </w:rPr>
  </w:style>
  <w:style w:type="paragraph" w:customStyle="1" w:styleId="DHHSmainheading">
    <w:name w:val="DHHS main heading"/>
    <w:uiPriority w:val="8"/>
    <w:rsid w:val="005E7112"/>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5E7112"/>
    <w:rPr>
      <w:rFonts w:ascii="Arial" w:hAnsi="Arial"/>
      <w:color w:val="FFFFFF"/>
      <w:sz w:val="28"/>
      <w:szCs w:val="24"/>
      <w:lang w:eastAsia="en-US"/>
    </w:rPr>
  </w:style>
  <w:style w:type="paragraph" w:customStyle="1" w:styleId="Spacerparatopoffirstpage">
    <w:name w:val="Spacer para top of first page"/>
    <w:basedOn w:val="DHHSbodynospace"/>
    <w:semiHidden/>
    <w:rsid w:val="005E7112"/>
    <w:pPr>
      <w:spacing w:line="240" w:lineRule="auto"/>
    </w:pPr>
    <w:rPr>
      <w:noProof/>
      <w:sz w:val="12"/>
    </w:rPr>
  </w:style>
  <w:style w:type="character" w:styleId="CommentReference">
    <w:name w:val="annotation reference"/>
    <w:uiPriority w:val="99"/>
    <w:semiHidden/>
    <w:unhideWhenUsed/>
    <w:rsid w:val="005E7112"/>
    <w:rPr>
      <w:sz w:val="16"/>
      <w:szCs w:val="16"/>
    </w:rPr>
  </w:style>
  <w:style w:type="paragraph" w:styleId="CommentText">
    <w:name w:val="annotation text"/>
    <w:basedOn w:val="Normal"/>
    <w:link w:val="CommentTextChar"/>
    <w:uiPriority w:val="99"/>
    <w:semiHidden/>
    <w:unhideWhenUsed/>
    <w:rsid w:val="005E7112"/>
  </w:style>
  <w:style w:type="character" w:customStyle="1" w:styleId="CommentTextChar">
    <w:name w:val="Comment Text Char"/>
    <w:basedOn w:val="DefaultParagraphFont"/>
    <w:link w:val="CommentText"/>
    <w:uiPriority w:val="99"/>
    <w:semiHidden/>
    <w:rsid w:val="005E711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E7112"/>
    <w:rPr>
      <w:b/>
      <w:bCs/>
    </w:rPr>
  </w:style>
  <w:style w:type="character" w:customStyle="1" w:styleId="CommentSubjectChar">
    <w:name w:val="Comment Subject Char"/>
    <w:basedOn w:val="CommentTextChar"/>
    <w:link w:val="CommentSubject"/>
    <w:uiPriority w:val="99"/>
    <w:semiHidden/>
    <w:rsid w:val="005E7112"/>
    <w:rPr>
      <w:rFonts w:ascii="Cambria" w:hAnsi="Cambria"/>
      <w:b/>
      <w:bCs/>
      <w:lang w:eastAsia="en-US"/>
    </w:rPr>
  </w:style>
  <w:style w:type="table" w:customStyle="1" w:styleId="Style1">
    <w:name w:val="Style1"/>
    <w:basedOn w:val="TableNormal"/>
    <w:uiPriority w:val="99"/>
    <w:rsid w:val="00C35825"/>
    <w:tblPr/>
    <w:tblStylePr w:type="firstCol">
      <w:tblPr/>
      <w:tcPr>
        <w:shd w:val="clear" w:color="auto" w:fill="F2F2F2" w:themeFill="background1" w:themeFillShade="F2"/>
      </w:tcPr>
    </w:tblStylePr>
  </w:style>
  <w:style w:type="paragraph" w:customStyle="1" w:styleId="AppendixHeading2">
    <w:name w:val="Appendix Heading 2"/>
    <w:basedOn w:val="Heading2"/>
    <w:next w:val="DHHSbody"/>
    <w:rsid w:val="0025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4305148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hhsba.vic.gov.au" TargetMode="External"/><Relationship Id="rId26" Type="http://schemas.openxmlformats.org/officeDocument/2006/relationships/hyperlink" Target="https://www.buyingfor.vic.gov.au/legal-services-panel-contract" TargetMode="External"/><Relationship Id="rId39" Type="http://schemas.openxmlformats.org/officeDocument/2006/relationships/hyperlink" Target="http://www.capital.health.vic.gov.au/Property_Management" TargetMode="External"/><Relationship Id="rId21" Type="http://schemas.openxmlformats.org/officeDocument/2006/relationships/hyperlink" Target="https://www.forestsandreserves.vic.gov.au/land-management/crown-land-leases-licences-and-permits" TargetMode="External"/><Relationship Id="rId34" Type="http://schemas.openxmlformats.org/officeDocument/2006/relationships/hyperlink" Target="http://www.capital.health.vic.gov.au/Property_Management" TargetMode="External"/><Relationship Id="rId42" Type="http://schemas.openxmlformats.org/officeDocument/2006/relationships/hyperlink" Target="https://www.forestsandreserves.vic.gov.au/land-management/crown-land-leases-licences-and-permits"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hyperlink" Target="https://www.propertyandlandtitles.vic.gov.au/valuation/government-valuations" TargetMode="External"/><Relationship Id="rId63" Type="http://schemas.openxmlformats.org/officeDocument/2006/relationships/hyperlink" Target="https://www.propertyandlandtitles.vic.gov.au/valuation/government-valuations" TargetMode="External"/><Relationship Id="rId68"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dtf.vic.gov.au/infrastructure-investment/asset-management-accountabilit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hhs.vic.gov.au/publications/policy-and-funding-guidelines-health-and-human-services" TargetMode="External"/><Relationship Id="rId32" Type="http://schemas.openxmlformats.org/officeDocument/2006/relationships/hyperlink" Target="https://www.propertyandlandtitles.vic.gov.au/valuation/government-valuations" TargetMode="External"/><Relationship Id="rId37" Type="http://schemas.openxmlformats.org/officeDocument/2006/relationships/hyperlink" Target="https://www.propertyandlandtitles.vic.gov.au/valuation/government-valuations" TargetMode="External"/><Relationship Id="rId40" Type="http://schemas.openxmlformats.org/officeDocument/2006/relationships/hyperlink" Target="https://www2.delwp.vic.gov.au/boards-and-governance/committees-of-management" TargetMode="External"/><Relationship Id="rId45" Type="http://schemas.openxmlformats.org/officeDocument/2006/relationships/hyperlink" Target="https://www.propertyandlandtitles.vic.gov.au/valuation/government-valuations" TargetMode="External"/><Relationship Id="rId53" Type="http://schemas.openxmlformats.org/officeDocument/2006/relationships/footer" Target="footer7.xml"/><Relationship Id="rId58" Type="http://schemas.openxmlformats.org/officeDocument/2006/relationships/footer" Target="footer10.xml"/><Relationship Id="rId66"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dtf.vic.gov.au/infrastructure-investment/asset-management-accountability-framework" TargetMode="External"/><Relationship Id="rId28" Type="http://schemas.openxmlformats.org/officeDocument/2006/relationships/image" Target="media/image4.png"/><Relationship Id="rId36" Type="http://schemas.openxmlformats.org/officeDocument/2006/relationships/hyperlink" Target="https://www.propertyandlandtitles.vic.gov.au/vglm" TargetMode="External"/><Relationship Id="rId49" Type="http://schemas.openxmlformats.org/officeDocument/2006/relationships/footer" Target="footer4.xml"/><Relationship Id="rId57" Type="http://schemas.openxmlformats.org/officeDocument/2006/relationships/footer" Target="footer9.xml"/><Relationship Id="rId61" Type="http://schemas.openxmlformats.org/officeDocument/2006/relationships/footer" Target="footer12.xml"/><Relationship Id="rId10" Type="http://schemas.openxmlformats.org/officeDocument/2006/relationships/image" Target="media/image3.png"/><Relationship Id="rId19" Type="http://schemas.openxmlformats.org/officeDocument/2006/relationships/hyperlink" Target="https://www.propertyandlandtitles.vic.gov.au/vglm" TargetMode="External"/><Relationship Id="rId31" Type="http://schemas.openxmlformats.org/officeDocument/2006/relationships/hyperlink" Target="mailto:capital@dhhs.vic.gov.au" TargetMode="External"/><Relationship Id="rId44" Type="http://schemas.openxmlformats.org/officeDocument/2006/relationships/hyperlink" Target="https://www.propertyandlandtitles.vic.gov.au/vglm" TargetMode="External"/><Relationship Id="rId52" Type="http://schemas.openxmlformats.org/officeDocument/2006/relationships/image" Target="media/image6.png"/><Relationship Id="rId60" Type="http://schemas.openxmlformats.org/officeDocument/2006/relationships/footer" Target="footer11.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2.delwp.vic.gov.au/boards-and-governance/committees-of-management" TargetMode="External"/><Relationship Id="rId27" Type="http://schemas.openxmlformats.org/officeDocument/2006/relationships/hyperlink" Target="https://www.dtf.vic.gov.au/infrastructure-investment/asset-management-accountability-framework" TargetMode="External"/><Relationship Id="rId30" Type="http://schemas.openxmlformats.org/officeDocument/2006/relationships/hyperlink" Target="https://www.propertyandlandtitles.vic.gov.au/vglm" TargetMode="External"/><Relationship Id="rId35" Type="http://schemas.openxmlformats.org/officeDocument/2006/relationships/hyperlink" Target="https://www.planning.vic.gov.au/policy-and-strategy/government-land-planning-service/victorian-government-landholding-policy-and-guidelines" TargetMode="External"/><Relationship Id="rId43" Type="http://schemas.openxmlformats.org/officeDocument/2006/relationships/hyperlink" Target="https://www.propertyandlandtitles.vic.gov.au/valuation/government-valuations" TargetMode="External"/><Relationship Id="rId48" Type="http://schemas.openxmlformats.org/officeDocument/2006/relationships/header" Target="header5.xml"/><Relationship Id="rId56" Type="http://schemas.openxmlformats.org/officeDocument/2006/relationships/hyperlink" Target="https://vglm.vic.gov.au" TargetMode="External"/><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6.xml"/><Relationship Id="rId72"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apital@dhhs.vic.gov.au" TargetMode="External"/><Relationship Id="rId25" Type="http://schemas.openxmlformats.org/officeDocument/2006/relationships/hyperlink" Target="http://www.capital.health.vic.gov.au/Property_Management" TargetMode="External"/><Relationship Id="rId33" Type="http://schemas.openxmlformats.org/officeDocument/2006/relationships/hyperlink" Target="https://vglm.vic.gov.au" TargetMode="External"/><Relationship Id="rId38" Type="http://schemas.openxmlformats.org/officeDocument/2006/relationships/hyperlink" Target="https://vglm.vic.gov.au" TargetMode="External"/><Relationship Id="rId46" Type="http://schemas.openxmlformats.org/officeDocument/2006/relationships/hyperlink" Target="https://vglm.vic.gov.au" TargetMode="External"/><Relationship Id="rId59" Type="http://schemas.openxmlformats.org/officeDocument/2006/relationships/image" Target="media/image7.png"/><Relationship Id="rId67" Type="http://schemas.openxmlformats.org/officeDocument/2006/relationships/footer" Target="footer15.xml"/><Relationship Id="rId20" Type="http://schemas.openxmlformats.org/officeDocument/2006/relationships/hyperlink" Target="https://www.planning.vic.gov.au/policy-and-strategy/government-land-planning-service/victorian-government-landholding-policy-and-guidelines" TargetMode="External"/><Relationship Id="rId41" Type="http://schemas.openxmlformats.org/officeDocument/2006/relationships/hyperlink" Target="https://www.forestsandreserves.vic.gov.au/land-management/crown-land-leases-licences-and-permits" TargetMode="External"/><Relationship Id="rId54" Type="http://schemas.openxmlformats.org/officeDocument/2006/relationships/footer" Target="footer8.xml"/><Relationship Id="rId62" Type="http://schemas.openxmlformats.org/officeDocument/2006/relationships/footer" Target="footer13.xml"/><Relationship Id="rId70" Type="http://schemas.openxmlformats.org/officeDocument/2006/relationships/theme" Target="theme/theme1.xml"/></Relationships>
</file>

<file path=word/_rels/footer1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Happy%20Words\VHHSBA%20property%20mgmt%20and%20helicopter%20guidelines\VHHSBA_Repor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FA50-196B-49AE-B951-255C3ECE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VHHSBA_Report.dotx</Template>
  <TotalTime>1</TotalTime>
  <Pages>43</Pages>
  <Words>8999</Words>
  <Characters>51296</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Property management and governance guidelines: Procedural framework for public sector health entities considering the acquisition, divestment, and leasing of land</vt:lpstr>
    </vt:vector>
  </TitlesOfParts>
  <Company>Victorian Health and Human Services Building Authority</Company>
  <LinksUpToDate>false</LinksUpToDate>
  <CharactersWithSpaces>60175</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and governance guidelines: Procedural framework for public sector health entities considering the acquisition, divestment, and leasing of land</dc:title>
  <dc:subject>Property management and governance guidelines</dc:subject>
  <dc:creator>Victorian Health and Human Services Building Authority</dc:creator>
  <cp:keywords>property management; guidelines; health; land</cp:keywords>
  <cp:lastModifiedBy>Sarah Hooton (DHHS)</cp:lastModifiedBy>
  <cp:revision>2</cp:revision>
  <cp:lastPrinted>2017-07-07T00:32:00Z</cp:lastPrinted>
  <dcterms:created xsi:type="dcterms:W3CDTF">2020-06-09T03:52:00Z</dcterms:created>
  <dcterms:modified xsi:type="dcterms:W3CDTF">2020-06-09T03:52:00Z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