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AAEC6" w14:textId="34DA72C6" w:rsidR="00002990" w:rsidRPr="003072C6" w:rsidRDefault="00E34CC8" w:rsidP="00A55989">
      <w:pPr>
        <w:pStyle w:val="DHHSbodynospace"/>
      </w:pPr>
      <w:r>
        <w:rPr>
          <w:noProof/>
        </w:rPr>
        <w:drawing>
          <wp:anchor distT="0" distB="0" distL="114300" distR="114300" simplePos="0" relativeHeight="251659264" behindDoc="0" locked="0" layoutInCell="1" allowOverlap="1" wp14:anchorId="3B71F850" wp14:editId="487C35CB">
            <wp:simplePos x="0" y="0"/>
            <wp:positionH relativeFrom="column">
              <wp:posOffset>-1211916</wp:posOffset>
            </wp:positionH>
            <wp:positionV relativeFrom="paragraph">
              <wp:posOffset>-2006600</wp:posOffset>
            </wp:positionV>
            <wp:extent cx="7529231" cy="1065022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HHSBA-engineering guidelines – covers6.jpg"/>
                    <pic:cNvPicPr/>
                  </pic:nvPicPr>
                  <pic:blipFill>
                    <a:blip r:embed="rId11"/>
                    <a:stretch>
                      <a:fillRect/>
                    </a:stretch>
                  </pic:blipFill>
                  <pic:spPr>
                    <a:xfrm>
                      <a:off x="0" y="0"/>
                      <a:ext cx="7529231" cy="10650220"/>
                    </a:xfrm>
                    <a:prstGeom prst="rect">
                      <a:avLst/>
                    </a:prstGeom>
                  </pic:spPr>
                </pic:pic>
              </a:graphicData>
            </a:graphic>
            <wp14:sizeRelH relativeFrom="page">
              <wp14:pctWidth>0</wp14:pctWidth>
            </wp14:sizeRelH>
            <wp14:sizeRelV relativeFrom="page">
              <wp14:pctHeight>0</wp14:pctHeight>
            </wp14:sizeRelV>
          </wp:anchor>
        </w:drawing>
      </w:r>
    </w:p>
    <w:tbl>
      <w:tblPr>
        <w:tblW w:w="7258" w:type="dxa"/>
        <w:tblInd w:w="113" w:type="dxa"/>
        <w:tblCellMar>
          <w:left w:w="0" w:type="dxa"/>
          <w:right w:w="0" w:type="dxa"/>
        </w:tblCellMar>
        <w:tblLook w:val="04A0" w:firstRow="1" w:lastRow="0" w:firstColumn="1" w:lastColumn="0" w:noHBand="0" w:noVBand="1"/>
      </w:tblPr>
      <w:tblGrid>
        <w:gridCol w:w="7258"/>
      </w:tblGrid>
      <w:tr w:rsidR="001817CD" w:rsidRPr="003072C6" w14:paraId="157AF72E" w14:textId="77777777" w:rsidTr="00126787">
        <w:trPr>
          <w:trHeight w:val="2851"/>
        </w:trPr>
        <w:tc>
          <w:tcPr>
            <w:tcW w:w="7258" w:type="dxa"/>
            <w:shd w:val="clear" w:color="auto" w:fill="auto"/>
            <w:vAlign w:val="center"/>
          </w:tcPr>
          <w:p w14:paraId="343FBEC4" w14:textId="3F5654CF" w:rsidR="00C416E1" w:rsidRPr="00871F0C" w:rsidRDefault="00C416E1" w:rsidP="00871F0C">
            <w:pPr>
              <w:pStyle w:val="DHHSreportmaintitlewhite"/>
            </w:pPr>
          </w:p>
          <w:p w14:paraId="0C864112" w14:textId="6E00558C" w:rsidR="00444D82" w:rsidRPr="00D84C4D" w:rsidRDefault="00444D82" w:rsidP="00D84C4D">
            <w:pPr>
              <w:pStyle w:val="DHHSreportsubtitlewhite"/>
            </w:pPr>
          </w:p>
        </w:tc>
      </w:tr>
      <w:tr w:rsidR="003822A7" w:rsidRPr="003072C6" w14:paraId="492A844A" w14:textId="77777777" w:rsidTr="00126787">
        <w:tc>
          <w:tcPr>
            <w:tcW w:w="7258" w:type="dxa"/>
            <w:shd w:val="clear" w:color="auto" w:fill="auto"/>
          </w:tcPr>
          <w:p w14:paraId="2969568F" w14:textId="77777777" w:rsidR="003822A7" w:rsidRPr="003072C6" w:rsidRDefault="003822A7" w:rsidP="003822A7">
            <w:pPr>
              <w:pStyle w:val="DHHSbody"/>
            </w:pPr>
          </w:p>
        </w:tc>
      </w:tr>
    </w:tbl>
    <w:p w14:paraId="7F21EAA3" w14:textId="77777777" w:rsidR="0069374A" w:rsidRPr="00B2614A" w:rsidRDefault="0069374A" w:rsidP="00B2614A">
      <w:pPr>
        <w:pStyle w:val="DHHSbody"/>
      </w:pPr>
    </w:p>
    <w:p w14:paraId="533374A9" w14:textId="77777777" w:rsidR="00C51B1C" w:rsidRPr="00B2614A" w:rsidRDefault="00C51B1C" w:rsidP="00B2614A">
      <w:pPr>
        <w:pStyle w:val="DHHSbody"/>
        <w:sectPr w:rsidR="00C51B1C" w:rsidRPr="00B2614A" w:rsidSect="00050C2F">
          <w:headerReference w:type="even" r:id="rId12"/>
          <w:headerReference w:type="default" r:id="rId13"/>
          <w:footerReference w:type="even" r:id="rId14"/>
          <w:footerReference w:type="default" r:id="rId15"/>
          <w:headerReference w:type="first" r:id="rId16"/>
          <w:footerReference w:type="first" r:id="rId17"/>
          <w:type w:val="oddPage"/>
          <w:pgSz w:w="11906" w:h="16838"/>
          <w:pgMar w:top="3175" w:right="1304" w:bottom="1134" w:left="1928" w:header="454" w:footer="567" w:gutter="0"/>
          <w:cols w:space="720"/>
          <w:docGrid w:linePitch="360"/>
        </w:sectPr>
      </w:pPr>
    </w:p>
    <w:p w14:paraId="4E7DA83A" w14:textId="77777777" w:rsidR="00256E7C" w:rsidRPr="00256E7C" w:rsidRDefault="00256E7C" w:rsidP="0005633B">
      <w:pPr>
        <w:pStyle w:val="Coverinstructions"/>
      </w:pPr>
      <w:r w:rsidRPr="00256E7C">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150AAE51" w14:textId="77777777" w:rsidTr="006D24CE">
        <w:trPr>
          <w:trHeight w:val="7402"/>
        </w:trPr>
        <w:tc>
          <w:tcPr>
            <w:tcW w:w="7597" w:type="dxa"/>
            <w:shd w:val="clear" w:color="auto" w:fill="auto"/>
            <w:vAlign w:val="center"/>
          </w:tcPr>
          <w:p w14:paraId="45AB9083" w14:textId="7819FA20" w:rsidR="00F53CFD" w:rsidRPr="00711B0C" w:rsidRDefault="00E34CC8" w:rsidP="00711B0C">
            <w:pPr>
              <w:pStyle w:val="DHHSreportmaintitle"/>
            </w:pPr>
            <w:r w:rsidRPr="00E34CC8">
              <w:lastRenderedPageBreak/>
              <w:t xml:space="preserve">Engineering guidelines for healthcare </w:t>
            </w:r>
            <w:r w:rsidRPr="00B53CFF">
              <w:rPr>
                <w:color w:val="0074BC"/>
              </w:rPr>
              <w:t>facilities</w:t>
            </w:r>
            <w:r w:rsidRPr="00E34CC8">
              <w:t xml:space="preserve">: </w:t>
            </w:r>
            <w:bookmarkStart w:id="0" w:name="_GoBack"/>
            <w:bookmarkEnd w:id="0"/>
            <w:r w:rsidR="00D13D48">
              <w:br/>
            </w:r>
            <w:r w:rsidRPr="00E34CC8">
              <w:t xml:space="preserve">Volume </w:t>
            </w:r>
            <w:r w:rsidR="007C161D">
              <w:t>6</w:t>
            </w:r>
            <w:r w:rsidRPr="00E34CC8">
              <w:t xml:space="preserve"> – </w:t>
            </w:r>
            <w:r w:rsidR="007C161D">
              <w:t>Specialist healthcare engineering and provisions</w:t>
            </w:r>
          </w:p>
          <w:p w14:paraId="61D3CA74" w14:textId="16F87897" w:rsidR="005338EA" w:rsidRPr="003072C6" w:rsidRDefault="00E34CC8" w:rsidP="00630937">
            <w:pPr>
              <w:pStyle w:val="DHHSreportsubtitle"/>
            </w:pPr>
            <w:r w:rsidRPr="00E34CC8">
              <w:t>Health technical guideline HTG-2020-00</w:t>
            </w:r>
            <w:r>
              <w:t>6</w:t>
            </w:r>
          </w:p>
        </w:tc>
      </w:tr>
    </w:tbl>
    <w:p w14:paraId="53ABB5B4"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6DB06BDA" w14:textId="77777777" w:rsidTr="00D13D48">
        <w:trPr>
          <w:trHeight w:val="5387"/>
        </w:trPr>
        <w:tc>
          <w:tcPr>
            <w:tcW w:w="9298" w:type="dxa"/>
            <w:vAlign w:val="bottom"/>
          </w:tcPr>
          <w:p w14:paraId="57990AC9" w14:textId="06DB72C5" w:rsidR="00AC02A1" w:rsidRDefault="00AC02A1" w:rsidP="00AC02A1">
            <w:pPr>
              <w:pStyle w:val="DHHSaccessibilitypara"/>
            </w:pPr>
            <w:r>
              <w:lastRenderedPageBreak/>
              <w:t>To receive this publication in an accessible format phone (03)</w:t>
            </w:r>
            <w:r w:rsidR="00D13D48">
              <w:t xml:space="preserve"> </w:t>
            </w:r>
            <w:r>
              <w:t xml:space="preserve">8644 5966, using the National Relay Service 13 36 77 if required, or email the </w:t>
            </w:r>
            <w:hyperlink r:id="rId18" w:history="1">
              <w:r>
                <w:rPr>
                  <w:rStyle w:val="Hyperlink"/>
                </w:rPr>
                <w:t>Engineering and Technical Services team</w:t>
              </w:r>
            </w:hyperlink>
            <w:r>
              <w:t xml:space="preserve"> &lt;assetmanagement@dhhs.vic.gov.au&gt;</w:t>
            </w:r>
          </w:p>
          <w:p w14:paraId="253F95C4" w14:textId="77777777" w:rsidR="00AC02A1" w:rsidRDefault="00AC02A1" w:rsidP="00AC02A1">
            <w:pPr>
              <w:pStyle w:val="DHHSbody"/>
            </w:pPr>
            <w:r>
              <w:t>Authorised and published by the Victorian Government, 1 Treasury Place, Melbourne.</w:t>
            </w:r>
          </w:p>
          <w:p w14:paraId="13614464" w14:textId="77777777" w:rsidR="00AC02A1" w:rsidRDefault="00AC02A1" w:rsidP="00AC02A1">
            <w:pPr>
              <w:pStyle w:val="DHHSbody"/>
            </w:pPr>
            <w:r>
              <w:t>© State of Victoria, Australia, Victorian Health and Human Services Building Authority, May 2020.</w:t>
            </w:r>
          </w:p>
          <w:p w14:paraId="5475D41C" w14:textId="254FF0F3" w:rsidR="00AC02A1" w:rsidRPr="00D13D48" w:rsidRDefault="00AC02A1" w:rsidP="00D13D48">
            <w:pPr>
              <w:pStyle w:val="DHHSbody"/>
              <w:rPr>
                <w:color w:val="000000" w:themeColor="text1"/>
              </w:rPr>
            </w:pPr>
            <w:r>
              <w:rPr>
                <w:color w:val="000000" w:themeColor="text1"/>
              </w:rPr>
              <w:t xml:space="preserve">Except where otherwise indicated, the images in this publication show models and illustrative settings only, and do not necessarily depict actual services, facilities or recipients of services. </w:t>
            </w:r>
          </w:p>
          <w:p w14:paraId="47570B37" w14:textId="03A1A457" w:rsidR="00AC02A1" w:rsidRDefault="00AC02A1" w:rsidP="00AC02A1">
            <w:pPr>
              <w:pStyle w:val="DHHSbody"/>
            </w:pPr>
            <w:r>
              <w:rPr>
                <w:rFonts w:cs="Arial"/>
                <w:b/>
                <w:bCs/>
                <w:color w:val="000000"/>
              </w:rPr>
              <w:t xml:space="preserve">ISBN </w:t>
            </w:r>
            <w:r>
              <w:rPr>
                <w:rFonts w:cs="Arial"/>
                <w:color w:val="000000"/>
              </w:rPr>
              <w:t>978-1-76069-440-</w:t>
            </w:r>
            <w:r w:rsidR="007C082A">
              <w:rPr>
                <w:rFonts w:cs="Arial"/>
                <w:color w:val="000000"/>
              </w:rPr>
              <w:t>1</w:t>
            </w:r>
            <w:r>
              <w:rPr>
                <w:rFonts w:cs="Arial"/>
                <w:b/>
                <w:bCs/>
                <w:color w:val="000000"/>
              </w:rPr>
              <w:t xml:space="preserve"> (pdf/online/MS word)</w:t>
            </w:r>
          </w:p>
          <w:p w14:paraId="415B7BFD" w14:textId="08C15A82" w:rsidR="00564E8F" w:rsidRPr="003072C6" w:rsidRDefault="00AC02A1" w:rsidP="00551789">
            <w:pPr>
              <w:pStyle w:val="DHHSbody"/>
            </w:pPr>
            <w:r>
              <w:rPr>
                <w:szCs w:val="19"/>
              </w:rPr>
              <w:t xml:space="preserve">Available at the </w:t>
            </w:r>
            <w:hyperlink r:id="rId19" w:history="1">
              <w:r>
                <w:rPr>
                  <w:rStyle w:val="Hyperlink"/>
                </w:rPr>
                <w:t>Victorian Health and Human Services Building Authority website</w:t>
              </w:r>
            </w:hyperlink>
            <w:r>
              <w:rPr>
                <w:szCs w:val="19"/>
              </w:rPr>
              <w:t xml:space="preserve"> </w:t>
            </w:r>
            <w:r>
              <w:t>&lt;https://www.vhhsba.vic.gov.au&gt;</w:t>
            </w:r>
          </w:p>
        </w:tc>
      </w:tr>
    </w:tbl>
    <w:p w14:paraId="391E6670" w14:textId="77777777" w:rsidR="00ED4D17" w:rsidRPr="003072C6" w:rsidRDefault="00ED4D17" w:rsidP="003072C6">
      <w:pPr>
        <w:pStyle w:val="DHHSbody"/>
      </w:pPr>
    </w:p>
    <w:p w14:paraId="5E4CAB6E" w14:textId="77777777" w:rsidR="00AC0C3B" w:rsidRPr="00A72102" w:rsidRDefault="00AC0C3B" w:rsidP="00A72102">
      <w:pPr>
        <w:pStyle w:val="DHHSTOCheadingreport"/>
      </w:pPr>
      <w:r w:rsidRPr="00A72102">
        <w:lastRenderedPageBreak/>
        <w:t>Contents</w:t>
      </w:r>
    </w:p>
    <w:p w14:paraId="63CD2DA8" w14:textId="0357E7CA" w:rsidR="003464D0"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2621627" w:history="1">
        <w:r w:rsidR="003464D0" w:rsidRPr="002A2033">
          <w:rPr>
            <w:rStyle w:val="Hyperlink"/>
          </w:rPr>
          <w:t>Introduction</w:t>
        </w:r>
        <w:r w:rsidR="003464D0">
          <w:rPr>
            <w:webHidden/>
          </w:rPr>
          <w:tab/>
        </w:r>
        <w:r w:rsidR="003464D0">
          <w:rPr>
            <w:webHidden/>
          </w:rPr>
          <w:fldChar w:fldCharType="begin"/>
        </w:r>
        <w:r w:rsidR="003464D0">
          <w:rPr>
            <w:webHidden/>
          </w:rPr>
          <w:instrText xml:space="preserve"> PAGEREF _Toc42621627 \h </w:instrText>
        </w:r>
        <w:r w:rsidR="003464D0">
          <w:rPr>
            <w:webHidden/>
          </w:rPr>
        </w:r>
        <w:r w:rsidR="003464D0">
          <w:rPr>
            <w:webHidden/>
          </w:rPr>
          <w:fldChar w:fldCharType="separate"/>
        </w:r>
        <w:r w:rsidR="003464D0">
          <w:rPr>
            <w:webHidden/>
          </w:rPr>
          <w:t>8</w:t>
        </w:r>
        <w:r w:rsidR="003464D0">
          <w:rPr>
            <w:webHidden/>
          </w:rPr>
          <w:fldChar w:fldCharType="end"/>
        </w:r>
      </w:hyperlink>
    </w:p>
    <w:p w14:paraId="515D6B8F" w14:textId="692D4280" w:rsidR="003464D0" w:rsidRDefault="00B53CFF">
      <w:pPr>
        <w:pStyle w:val="TOC1"/>
        <w:rPr>
          <w:rFonts w:asciiTheme="minorHAnsi" w:eastAsiaTheme="minorEastAsia" w:hAnsiTheme="minorHAnsi" w:cstheme="minorBidi"/>
          <w:b w:val="0"/>
          <w:sz w:val="22"/>
          <w:szCs w:val="22"/>
          <w:lang w:eastAsia="en-AU"/>
        </w:rPr>
      </w:pPr>
      <w:hyperlink w:anchor="_Toc42621628" w:history="1">
        <w:r w:rsidR="003464D0" w:rsidRPr="002A2033">
          <w:rPr>
            <w:rStyle w:val="Hyperlink"/>
          </w:rPr>
          <w:t>Medical gases</w:t>
        </w:r>
        <w:r w:rsidR="003464D0">
          <w:rPr>
            <w:webHidden/>
          </w:rPr>
          <w:tab/>
        </w:r>
        <w:r w:rsidR="003464D0">
          <w:rPr>
            <w:webHidden/>
          </w:rPr>
          <w:fldChar w:fldCharType="begin"/>
        </w:r>
        <w:r w:rsidR="003464D0">
          <w:rPr>
            <w:webHidden/>
          </w:rPr>
          <w:instrText xml:space="preserve"> PAGEREF _Toc42621628 \h </w:instrText>
        </w:r>
        <w:r w:rsidR="003464D0">
          <w:rPr>
            <w:webHidden/>
          </w:rPr>
        </w:r>
        <w:r w:rsidR="003464D0">
          <w:rPr>
            <w:webHidden/>
          </w:rPr>
          <w:fldChar w:fldCharType="separate"/>
        </w:r>
        <w:r w:rsidR="003464D0">
          <w:rPr>
            <w:webHidden/>
          </w:rPr>
          <w:t>9</w:t>
        </w:r>
        <w:r w:rsidR="003464D0">
          <w:rPr>
            <w:webHidden/>
          </w:rPr>
          <w:fldChar w:fldCharType="end"/>
        </w:r>
      </w:hyperlink>
    </w:p>
    <w:p w14:paraId="07F42B83" w14:textId="000A8FF4" w:rsidR="003464D0" w:rsidRDefault="00B53CFF">
      <w:pPr>
        <w:pStyle w:val="TOC2"/>
        <w:rPr>
          <w:rFonts w:asciiTheme="minorHAnsi" w:eastAsiaTheme="minorEastAsia" w:hAnsiTheme="minorHAnsi" w:cstheme="minorBidi"/>
          <w:sz w:val="22"/>
          <w:szCs w:val="22"/>
          <w:lang w:eastAsia="en-AU"/>
        </w:rPr>
      </w:pPr>
      <w:hyperlink w:anchor="_Toc42621629" w:history="1">
        <w:r w:rsidR="003464D0" w:rsidRPr="002A2033">
          <w:rPr>
            <w:rStyle w:val="Hyperlink"/>
          </w:rPr>
          <w:t>Introduction</w:t>
        </w:r>
        <w:r w:rsidR="003464D0">
          <w:rPr>
            <w:webHidden/>
          </w:rPr>
          <w:tab/>
        </w:r>
        <w:r w:rsidR="003464D0">
          <w:rPr>
            <w:webHidden/>
          </w:rPr>
          <w:fldChar w:fldCharType="begin"/>
        </w:r>
        <w:r w:rsidR="003464D0">
          <w:rPr>
            <w:webHidden/>
          </w:rPr>
          <w:instrText xml:space="preserve"> PAGEREF _Toc42621629 \h </w:instrText>
        </w:r>
        <w:r w:rsidR="003464D0">
          <w:rPr>
            <w:webHidden/>
          </w:rPr>
        </w:r>
        <w:r w:rsidR="003464D0">
          <w:rPr>
            <w:webHidden/>
          </w:rPr>
          <w:fldChar w:fldCharType="separate"/>
        </w:r>
        <w:r w:rsidR="003464D0">
          <w:rPr>
            <w:webHidden/>
          </w:rPr>
          <w:t>9</w:t>
        </w:r>
        <w:r w:rsidR="003464D0">
          <w:rPr>
            <w:webHidden/>
          </w:rPr>
          <w:fldChar w:fldCharType="end"/>
        </w:r>
      </w:hyperlink>
    </w:p>
    <w:p w14:paraId="3D35FCE8" w14:textId="44AB32E1" w:rsidR="003464D0" w:rsidRDefault="00B53CFF">
      <w:pPr>
        <w:pStyle w:val="TOC2"/>
        <w:rPr>
          <w:rFonts w:asciiTheme="minorHAnsi" w:eastAsiaTheme="minorEastAsia" w:hAnsiTheme="minorHAnsi" w:cstheme="minorBidi"/>
          <w:sz w:val="22"/>
          <w:szCs w:val="22"/>
          <w:lang w:eastAsia="en-AU"/>
        </w:rPr>
      </w:pPr>
      <w:hyperlink w:anchor="_Toc42621630" w:history="1">
        <w:r w:rsidR="003464D0" w:rsidRPr="002A2033">
          <w:rPr>
            <w:rStyle w:val="Hyperlink"/>
          </w:rPr>
          <w:t>Scope</w:t>
        </w:r>
        <w:r w:rsidR="003464D0">
          <w:rPr>
            <w:webHidden/>
          </w:rPr>
          <w:tab/>
        </w:r>
        <w:r w:rsidR="003464D0">
          <w:rPr>
            <w:webHidden/>
          </w:rPr>
          <w:fldChar w:fldCharType="begin"/>
        </w:r>
        <w:r w:rsidR="003464D0">
          <w:rPr>
            <w:webHidden/>
          </w:rPr>
          <w:instrText xml:space="preserve"> PAGEREF _Toc42621630 \h </w:instrText>
        </w:r>
        <w:r w:rsidR="003464D0">
          <w:rPr>
            <w:webHidden/>
          </w:rPr>
        </w:r>
        <w:r w:rsidR="003464D0">
          <w:rPr>
            <w:webHidden/>
          </w:rPr>
          <w:fldChar w:fldCharType="separate"/>
        </w:r>
        <w:r w:rsidR="003464D0">
          <w:rPr>
            <w:webHidden/>
          </w:rPr>
          <w:t>9</w:t>
        </w:r>
        <w:r w:rsidR="003464D0">
          <w:rPr>
            <w:webHidden/>
          </w:rPr>
          <w:fldChar w:fldCharType="end"/>
        </w:r>
      </w:hyperlink>
    </w:p>
    <w:p w14:paraId="5B343296" w14:textId="023E9CDB" w:rsidR="003464D0" w:rsidRDefault="00B53CFF">
      <w:pPr>
        <w:pStyle w:val="TOC2"/>
        <w:rPr>
          <w:rFonts w:asciiTheme="minorHAnsi" w:eastAsiaTheme="minorEastAsia" w:hAnsiTheme="minorHAnsi" w:cstheme="minorBidi"/>
          <w:sz w:val="22"/>
          <w:szCs w:val="22"/>
          <w:lang w:eastAsia="en-AU"/>
        </w:rPr>
      </w:pPr>
      <w:hyperlink w:anchor="_Toc42621631" w:history="1">
        <w:r w:rsidR="003464D0" w:rsidRPr="002A2033">
          <w:rPr>
            <w:rStyle w:val="Hyperlink"/>
          </w:rPr>
          <w:t>Infrastructure</w:t>
        </w:r>
        <w:r w:rsidR="003464D0">
          <w:rPr>
            <w:webHidden/>
          </w:rPr>
          <w:tab/>
        </w:r>
        <w:r w:rsidR="003464D0">
          <w:rPr>
            <w:webHidden/>
          </w:rPr>
          <w:fldChar w:fldCharType="begin"/>
        </w:r>
        <w:r w:rsidR="003464D0">
          <w:rPr>
            <w:webHidden/>
          </w:rPr>
          <w:instrText xml:space="preserve"> PAGEREF _Toc42621631 \h </w:instrText>
        </w:r>
        <w:r w:rsidR="003464D0">
          <w:rPr>
            <w:webHidden/>
          </w:rPr>
        </w:r>
        <w:r w:rsidR="003464D0">
          <w:rPr>
            <w:webHidden/>
          </w:rPr>
          <w:fldChar w:fldCharType="separate"/>
        </w:r>
        <w:r w:rsidR="003464D0">
          <w:rPr>
            <w:webHidden/>
          </w:rPr>
          <w:t>9</w:t>
        </w:r>
        <w:r w:rsidR="003464D0">
          <w:rPr>
            <w:webHidden/>
          </w:rPr>
          <w:fldChar w:fldCharType="end"/>
        </w:r>
      </w:hyperlink>
    </w:p>
    <w:p w14:paraId="7C858A51" w14:textId="609B032D" w:rsidR="003464D0" w:rsidRDefault="00B53CFF">
      <w:pPr>
        <w:pStyle w:val="TOC2"/>
        <w:rPr>
          <w:rFonts w:asciiTheme="minorHAnsi" w:eastAsiaTheme="minorEastAsia" w:hAnsiTheme="minorHAnsi" w:cstheme="minorBidi"/>
          <w:sz w:val="22"/>
          <w:szCs w:val="22"/>
          <w:lang w:eastAsia="en-AU"/>
        </w:rPr>
      </w:pPr>
      <w:hyperlink w:anchor="_Toc42621632" w:history="1">
        <w:r w:rsidR="003464D0" w:rsidRPr="002A2033">
          <w:rPr>
            <w:rStyle w:val="Hyperlink"/>
          </w:rPr>
          <w:t>Oxygen</w:t>
        </w:r>
        <w:r w:rsidR="003464D0">
          <w:rPr>
            <w:webHidden/>
          </w:rPr>
          <w:tab/>
        </w:r>
        <w:r w:rsidR="003464D0">
          <w:rPr>
            <w:webHidden/>
          </w:rPr>
          <w:fldChar w:fldCharType="begin"/>
        </w:r>
        <w:r w:rsidR="003464D0">
          <w:rPr>
            <w:webHidden/>
          </w:rPr>
          <w:instrText xml:space="preserve"> PAGEREF _Toc42621632 \h </w:instrText>
        </w:r>
        <w:r w:rsidR="003464D0">
          <w:rPr>
            <w:webHidden/>
          </w:rPr>
        </w:r>
        <w:r w:rsidR="003464D0">
          <w:rPr>
            <w:webHidden/>
          </w:rPr>
          <w:fldChar w:fldCharType="separate"/>
        </w:r>
        <w:r w:rsidR="003464D0">
          <w:rPr>
            <w:webHidden/>
          </w:rPr>
          <w:t>10</w:t>
        </w:r>
        <w:r w:rsidR="003464D0">
          <w:rPr>
            <w:webHidden/>
          </w:rPr>
          <w:fldChar w:fldCharType="end"/>
        </w:r>
      </w:hyperlink>
    </w:p>
    <w:p w14:paraId="2A183FDC" w14:textId="51AD168D" w:rsidR="003464D0" w:rsidRDefault="00B53CFF">
      <w:pPr>
        <w:pStyle w:val="TOC2"/>
        <w:rPr>
          <w:rFonts w:asciiTheme="minorHAnsi" w:eastAsiaTheme="minorEastAsia" w:hAnsiTheme="minorHAnsi" w:cstheme="minorBidi"/>
          <w:sz w:val="22"/>
          <w:szCs w:val="22"/>
          <w:lang w:eastAsia="en-AU"/>
        </w:rPr>
      </w:pPr>
      <w:hyperlink w:anchor="_Toc42621633" w:history="1">
        <w:r w:rsidR="003464D0" w:rsidRPr="002A2033">
          <w:rPr>
            <w:rStyle w:val="Hyperlink"/>
          </w:rPr>
          <w:t>Nitrous oxide</w:t>
        </w:r>
        <w:r w:rsidR="003464D0">
          <w:rPr>
            <w:webHidden/>
          </w:rPr>
          <w:tab/>
        </w:r>
        <w:r w:rsidR="003464D0">
          <w:rPr>
            <w:webHidden/>
          </w:rPr>
          <w:fldChar w:fldCharType="begin"/>
        </w:r>
        <w:r w:rsidR="003464D0">
          <w:rPr>
            <w:webHidden/>
          </w:rPr>
          <w:instrText xml:space="preserve"> PAGEREF _Toc42621633 \h </w:instrText>
        </w:r>
        <w:r w:rsidR="003464D0">
          <w:rPr>
            <w:webHidden/>
          </w:rPr>
        </w:r>
        <w:r w:rsidR="003464D0">
          <w:rPr>
            <w:webHidden/>
          </w:rPr>
          <w:fldChar w:fldCharType="separate"/>
        </w:r>
        <w:r w:rsidR="003464D0">
          <w:rPr>
            <w:webHidden/>
          </w:rPr>
          <w:t>10</w:t>
        </w:r>
        <w:r w:rsidR="003464D0">
          <w:rPr>
            <w:webHidden/>
          </w:rPr>
          <w:fldChar w:fldCharType="end"/>
        </w:r>
      </w:hyperlink>
    </w:p>
    <w:p w14:paraId="7F56AD44" w14:textId="74C56BB1" w:rsidR="003464D0" w:rsidRDefault="00B53CFF">
      <w:pPr>
        <w:pStyle w:val="TOC2"/>
        <w:rPr>
          <w:rFonts w:asciiTheme="minorHAnsi" w:eastAsiaTheme="minorEastAsia" w:hAnsiTheme="minorHAnsi" w:cstheme="minorBidi"/>
          <w:sz w:val="22"/>
          <w:szCs w:val="22"/>
          <w:lang w:eastAsia="en-AU"/>
        </w:rPr>
      </w:pPr>
      <w:hyperlink w:anchor="_Toc42621634" w:history="1">
        <w:r w:rsidR="003464D0" w:rsidRPr="002A2033">
          <w:rPr>
            <w:rStyle w:val="Hyperlink"/>
          </w:rPr>
          <w:t>Medical air</w:t>
        </w:r>
        <w:r w:rsidR="003464D0">
          <w:rPr>
            <w:webHidden/>
          </w:rPr>
          <w:tab/>
        </w:r>
        <w:r w:rsidR="003464D0">
          <w:rPr>
            <w:webHidden/>
          </w:rPr>
          <w:fldChar w:fldCharType="begin"/>
        </w:r>
        <w:r w:rsidR="003464D0">
          <w:rPr>
            <w:webHidden/>
          </w:rPr>
          <w:instrText xml:space="preserve"> PAGEREF _Toc42621634 \h </w:instrText>
        </w:r>
        <w:r w:rsidR="003464D0">
          <w:rPr>
            <w:webHidden/>
          </w:rPr>
        </w:r>
        <w:r w:rsidR="003464D0">
          <w:rPr>
            <w:webHidden/>
          </w:rPr>
          <w:fldChar w:fldCharType="separate"/>
        </w:r>
        <w:r w:rsidR="003464D0">
          <w:rPr>
            <w:webHidden/>
          </w:rPr>
          <w:t>10</w:t>
        </w:r>
        <w:r w:rsidR="003464D0">
          <w:rPr>
            <w:webHidden/>
          </w:rPr>
          <w:fldChar w:fldCharType="end"/>
        </w:r>
      </w:hyperlink>
    </w:p>
    <w:p w14:paraId="3B41FB72" w14:textId="08EDE7CA" w:rsidR="003464D0" w:rsidRDefault="00B53CFF">
      <w:pPr>
        <w:pStyle w:val="TOC2"/>
        <w:rPr>
          <w:rFonts w:asciiTheme="minorHAnsi" w:eastAsiaTheme="minorEastAsia" w:hAnsiTheme="minorHAnsi" w:cstheme="minorBidi"/>
          <w:sz w:val="22"/>
          <w:szCs w:val="22"/>
          <w:lang w:eastAsia="en-AU"/>
        </w:rPr>
      </w:pPr>
      <w:hyperlink w:anchor="_Toc42621635" w:history="1">
        <w:r w:rsidR="003464D0" w:rsidRPr="002A2033">
          <w:rPr>
            <w:rStyle w:val="Hyperlink"/>
          </w:rPr>
          <w:t>Tool air</w:t>
        </w:r>
        <w:r w:rsidR="003464D0">
          <w:rPr>
            <w:webHidden/>
          </w:rPr>
          <w:tab/>
        </w:r>
        <w:r w:rsidR="003464D0">
          <w:rPr>
            <w:webHidden/>
          </w:rPr>
          <w:fldChar w:fldCharType="begin"/>
        </w:r>
        <w:r w:rsidR="003464D0">
          <w:rPr>
            <w:webHidden/>
          </w:rPr>
          <w:instrText xml:space="preserve"> PAGEREF _Toc42621635 \h </w:instrText>
        </w:r>
        <w:r w:rsidR="003464D0">
          <w:rPr>
            <w:webHidden/>
          </w:rPr>
        </w:r>
        <w:r w:rsidR="003464D0">
          <w:rPr>
            <w:webHidden/>
          </w:rPr>
          <w:fldChar w:fldCharType="separate"/>
        </w:r>
        <w:r w:rsidR="003464D0">
          <w:rPr>
            <w:webHidden/>
          </w:rPr>
          <w:t>11</w:t>
        </w:r>
        <w:r w:rsidR="003464D0">
          <w:rPr>
            <w:webHidden/>
          </w:rPr>
          <w:fldChar w:fldCharType="end"/>
        </w:r>
      </w:hyperlink>
    </w:p>
    <w:p w14:paraId="6D58140F" w14:textId="0C955AEF" w:rsidR="003464D0" w:rsidRDefault="00B53CFF">
      <w:pPr>
        <w:pStyle w:val="TOC2"/>
        <w:rPr>
          <w:rFonts w:asciiTheme="minorHAnsi" w:eastAsiaTheme="minorEastAsia" w:hAnsiTheme="minorHAnsi" w:cstheme="minorBidi"/>
          <w:sz w:val="22"/>
          <w:szCs w:val="22"/>
          <w:lang w:eastAsia="en-AU"/>
        </w:rPr>
      </w:pPr>
      <w:hyperlink w:anchor="_Toc42621636" w:history="1">
        <w:r w:rsidR="003464D0" w:rsidRPr="002A2033">
          <w:rPr>
            <w:rStyle w:val="Hyperlink"/>
          </w:rPr>
          <w:t>Vacuum (suction)</w:t>
        </w:r>
        <w:r w:rsidR="003464D0">
          <w:rPr>
            <w:webHidden/>
          </w:rPr>
          <w:tab/>
        </w:r>
        <w:r w:rsidR="003464D0">
          <w:rPr>
            <w:webHidden/>
          </w:rPr>
          <w:fldChar w:fldCharType="begin"/>
        </w:r>
        <w:r w:rsidR="003464D0">
          <w:rPr>
            <w:webHidden/>
          </w:rPr>
          <w:instrText xml:space="preserve"> PAGEREF _Toc42621636 \h </w:instrText>
        </w:r>
        <w:r w:rsidR="003464D0">
          <w:rPr>
            <w:webHidden/>
          </w:rPr>
        </w:r>
        <w:r w:rsidR="003464D0">
          <w:rPr>
            <w:webHidden/>
          </w:rPr>
          <w:fldChar w:fldCharType="separate"/>
        </w:r>
        <w:r w:rsidR="003464D0">
          <w:rPr>
            <w:webHidden/>
          </w:rPr>
          <w:t>11</w:t>
        </w:r>
        <w:r w:rsidR="003464D0">
          <w:rPr>
            <w:webHidden/>
          </w:rPr>
          <w:fldChar w:fldCharType="end"/>
        </w:r>
      </w:hyperlink>
    </w:p>
    <w:p w14:paraId="670686DF" w14:textId="5ADE25A7" w:rsidR="003464D0" w:rsidRDefault="00B53CFF">
      <w:pPr>
        <w:pStyle w:val="TOC2"/>
        <w:rPr>
          <w:rFonts w:asciiTheme="minorHAnsi" w:eastAsiaTheme="minorEastAsia" w:hAnsiTheme="minorHAnsi" w:cstheme="minorBidi"/>
          <w:sz w:val="22"/>
          <w:szCs w:val="22"/>
          <w:lang w:eastAsia="en-AU"/>
        </w:rPr>
      </w:pPr>
      <w:hyperlink w:anchor="_Toc42621637" w:history="1">
        <w:r w:rsidR="003464D0" w:rsidRPr="002A2033">
          <w:rPr>
            <w:rStyle w:val="Hyperlink"/>
          </w:rPr>
          <w:t>Other gas systems</w:t>
        </w:r>
        <w:r w:rsidR="003464D0">
          <w:rPr>
            <w:webHidden/>
          </w:rPr>
          <w:tab/>
        </w:r>
        <w:r w:rsidR="003464D0">
          <w:rPr>
            <w:webHidden/>
          </w:rPr>
          <w:fldChar w:fldCharType="begin"/>
        </w:r>
        <w:r w:rsidR="003464D0">
          <w:rPr>
            <w:webHidden/>
          </w:rPr>
          <w:instrText xml:space="preserve"> PAGEREF _Toc42621637 \h </w:instrText>
        </w:r>
        <w:r w:rsidR="003464D0">
          <w:rPr>
            <w:webHidden/>
          </w:rPr>
        </w:r>
        <w:r w:rsidR="003464D0">
          <w:rPr>
            <w:webHidden/>
          </w:rPr>
          <w:fldChar w:fldCharType="separate"/>
        </w:r>
        <w:r w:rsidR="003464D0">
          <w:rPr>
            <w:webHidden/>
          </w:rPr>
          <w:t>12</w:t>
        </w:r>
        <w:r w:rsidR="003464D0">
          <w:rPr>
            <w:webHidden/>
          </w:rPr>
          <w:fldChar w:fldCharType="end"/>
        </w:r>
      </w:hyperlink>
    </w:p>
    <w:p w14:paraId="007109EF" w14:textId="670C3D80" w:rsidR="003464D0" w:rsidRDefault="00B53CFF">
      <w:pPr>
        <w:pStyle w:val="TOC2"/>
        <w:rPr>
          <w:rFonts w:asciiTheme="minorHAnsi" w:eastAsiaTheme="minorEastAsia" w:hAnsiTheme="minorHAnsi" w:cstheme="minorBidi"/>
          <w:sz w:val="22"/>
          <w:szCs w:val="22"/>
          <w:lang w:eastAsia="en-AU"/>
        </w:rPr>
      </w:pPr>
      <w:hyperlink w:anchor="_Toc42621638" w:history="1">
        <w:r w:rsidR="003464D0" w:rsidRPr="002A2033">
          <w:rPr>
            <w:rStyle w:val="Hyperlink"/>
          </w:rPr>
          <w:t>Area and room-specific requirements</w:t>
        </w:r>
        <w:r w:rsidR="003464D0">
          <w:rPr>
            <w:webHidden/>
          </w:rPr>
          <w:tab/>
        </w:r>
        <w:r w:rsidR="003464D0">
          <w:rPr>
            <w:webHidden/>
          </w:rPr>
          <w:fldChar w:fldCharType="begin"/>
        </w:r>
        <w:r w:rsidR="003464D0">
          <w:rPr>
            <w:webHidden/>
          </w:rPr>
          <w:instrText xml:space="preserve"> PAGEREF _Toc42621638 \h </w:instrText>
        </w:r>
        <w:r w:rsidR="003464D0">
          <w:rPr>
            <w:webHidden/>
          </w:rPr>
        </w:r>
        <w:r w:rsidR="003464D0">
          <w:rPr>
            <w:webHidden/>
          </w:rPr>
          <w:fldChar w:fldCharType="separate"/>
        </w:r>
        <w:r w:rsidR="003464D0">
          <w:rPr>
            <w:webHidden/>
          </w:rPr>
          <w:t>12</w:t>
        </w:r>
        <w:r w:rsidR="003464D0">
          <w:rPr>
            <w:webHidden/>
          </w:rPr>
          <w:fldChar w:fldCharType="end"/>
        </w:r>
      </w:hyperlink>
    </w:p>
    <w:p w14:paraId="0B96BF0A" w14:textId="774EADA4" w:rsidR="003464D0" w:rsidRDefault="00B53CFF">
      <w:pPr>
        <w:pStyle w:val="TOC2"/>
        <w:rPr>
          <w:rFonts w:asciiTheme="minorHAnsi" w:eastAsiaTheme="minorEastAsia" w:hAnsiTheme="minorHAnsi" w:cstheme="minorBidi"/>
          <w:sz w:val="22"/>
          <w:szCs w:val="22"/>
          <w:lang w:eastAsia="en-AU"/>
        </w:rPr>
      </w:pPr>
      <w:hyperlink w:anchor="_Toc42621639" w:history="1">
        <w:r w:rsidR="003464D0" w:rsidRPr="002A2033">
          <w:rPr>
            <w:rStyle w:val="Hyperlink"/>
          </w:rPr>
          <w:t>Cross-connection</w:t>
        </w:r>
        <w:r w:rsidR="003464D0">
          <w:rPr>
            <w:webHidden/>
          </w:rPr>
          <w:tab/>
        </w:r>
        <w:r w:rsidR="003464D0">
          <w:rPr>
            <w:webHidden/>
          </w:rPr>
          <w:fldChar w:fldCharType="begin"/>
        </w:r>
        <w:r w:rsidR="003464D0">
          <w:rPr>
            <w:webHidden/>
          </w:rPr>
          <w:instrText xml:space="preserve"> PAGEREF _Toc42621639 \h </w:instrText>
        </w:r>
        <w:r w:rsidR="003464D0">
          <w:rPr>
            <w:webHidden/>
          </w:rPr>
        </w:r>
        <w:r w:rsidR="003464D0">
          <w:rPr>
            <w:webHidden/>
          </w:rPr>
          <w:fldChar w:fldCharType="separate"/>
        </w:r>
        <w:r w:rsidR="003464D0">
          <w:rPr>
            <w:webHidden/>
          </w:rPr>
          <w:t>14</w:t>
        </w:r>
        <w:r w:rsidR="003464D0">
          <w:rPr>
            <w:webHidden/>
          </w:rPr>
          <w:fldChar w:fldCharType="end"/>
        </w:r>
      </w:hyperlink>
    </w:p>
    <w:p w14:paraId="312B925D" w14:textId="551512CD" w:rsidR="003464D0" w:rsidRDefault="00B53CFF">
      <w:pPr>
        <w:pStyle w:val="TOC1"/>
        <w:rPr>
          <w:rFonts w:asciiTheme="minorHAnsi" w:eastAsiaTheme="minorEastAsia" w:hAnsiTheme="minorHAnsi" w:cstheme="minorBidi"/>
          <w:b w:val="0"/>
          <w:sz w:val="22"/>
          <w:szCs w:val="22"/>
          <w:lang w:eastAsia="en-AU"/>
        </w:rPr>
      </w:pPr>
      <w:hyperlink w:anchor="_Toc42621640" w:history="1">
        <w:r w:rsidR="003464D0" w:rsidRPr="002A2033">
          <w:rPr>
            <w:rStyle w:val="Hyperlink"/>
            <w:rFonts w:eastAsia="Calibri"/>
          </w:rPr>
          <w:t>Vertical transport</w:t>
        </w:r>
        <w:r w:rsidR="003464D0">
          <w:rPr>
            <w:webHidden/>
          </w:rPr>
          <w:tab/>
        </w:r>
        <w:r w:rsidR="003464D0">
          <w:rPr>
            <w:webHidden/>
          </w:rPr>
          <w:fldChar w:fldCharType="begin"/>
        </w:r>
        <w:r w:rsidR="003464D0">
          <w:rPr>
            <w:webHidden/>
          </w:rPr>
          <w:instrText xml:space="preserve"> PAGEREF _Toc42621640 \h </w:instrText>
        </w:r>
        <w:r w:rsidR="003464D0">
          <w:rPr>
            <w:webHidden/>
          </w:rPr>
        </w:r>
        <w:r w:rsidR="003464D0">
          <w:rPr>
            <w:webHidden/>
          </w:rPr>
          <w:fldChar w:fldCharType="separate"/>
        </w:r>
        <w:r w:rsidR="003464D0">
          <w:rPr>
            <w:webHidden/>
          </w:rPr>
          <w:t>15</w:t>
        </w:r>
        <w:r w:rsidR="003464D0">
          <w:rPr>
            <w:webHidden/>
          </w:rPr>
          <w:fldChar w:fldCharType="end"/>
        </w:r>
      </w:hyperlink>
    </w:p>
    <w:p w14:paraId="6F9AD3CF" w14:textId="177B1EA0" w:rsidR="003464D0" w:rsidRDefault="00B53CFF">
      <w:pPr>
        <w:pStyle w:val="TOC2"/>
        <w:rPr>
          <w:rFonts w:asciiTheme="minorHAnsi" w:eastAsiaTheme="minorEastAsia" w:hAnsiTheme="minorHAnsi" w:cstheme="minorBidi"/>
          <w:sz w:val="22"/>
          <w:szCs w:val="22"/>
          <w:lang w:eastAsia="en-AU"/>
        </w:rPr>
      </w:pPr>
      <w:hyperlink w:anchor="_Toc42621641" w:history="1">
        <w:r w:rsidR="003464D0" w:rsidRPr="002A2033">
          <w:rPr>
            <w:rStyle w:val="Hyperlink"/>
          </w:rPr>
          <w:t>Introduction</w:t>
        </w:r>
        <w:r w:rsidR="003464D0">
          <w:rPr>
            <w:webHidden/>
          </w:rPr>
          <w:tab/>
        </w:r>
        <w:r w:rsidR="003464D0">
          <w:rPr>
            <w:webHidden/>
          </w:rPr>
          <w:fldChar w:fldCharType="begin"/>
        </w:r>
        <w:r w:rsidR="003464D0">
          <w:rPr>
            <w:webHidden/>
          </w:rPr>
          <w:instrText xml:space="preserve"> PAGEREF _Toc42621641 \h </w:instrText>
        </w:r>
        <w:r w:rsidR="003464D0">
          <w:rPr>
            <w:webHidden/>
          </w:rPr>
        </w:r>
        <w:r w:rsidR="003464D0">
          <w:rPr>
            <w:webHidden/>
          </w:rPr>
          <w:fldChar w:fldCharType="separate"/>
        </w:r>
        <w:r w:rsidR="003464D0">
          <w:rPr>
            <w:webHidden/>
          </w:rPr>
          <w:t>15</w:t>
        </w:r>
        <w:r w:rsidR="003464D0">
          <w:rPr>
            <w:webHidden/>
          </w:rPr>
          <w:fldChar w:fldCharType="end"/>
        </w:r>
      </w:hyperlink>
    </w:p>
    <w:p w14:paraId="21BCA27A" w14:textId="7780DE2C" w:rsidR="003464D0" w:rsidRDefault="00B53CFF">
      <w:pPr>
        <w:pStyle w:val="TOC2"/>
        <w:rPr>
          <w:rFonts w:asciiTheme="minorHAnsi" w:eastAsiaTheme="minorEastAsia" w:hAnsiTheme="minorHAnsi" w:cstheme="minorBidi"/>
          <w:sz w:val="22"/>
          <w:szCs w:val="22"/>
          <w:lang w:eastAsia="en-AU"/>
        </w:rPr>
      </w:pPr>
      <w:hyperlink w:anchor="_Toc42621642" w:history="1">
        <w:r w:rsidR="003464D0" w:rsidRPr="002A2033">
          <w:rPr>
            <w:rStyle w:val="Hyperlink"/>
          </w:rPr>
          <w:t>Scope</w:t>
        </w:r>
        <w:r w:rsidR="003464D0">
          <w:rPr>
            <w:webHidden/>
          </w:rPr>
          <w:tab/>
        </w:r>
        <w:r w:rsidR="003464D0">
          <w:rPr>
            <w:webHidden/>
          </w:rPr>
          <w:fldChar w:fldCharType="begin"/>
        </w:r>
        <w:r w:rsidR="003464D0">
          <w:rPr>
            <w:webHidden/>
          </w:rPr>
          <w:instrText xml:space="preserve"> PAGEREF _Toc42621642 \h </w:instrText>
        </w:r>
        <w:r w:rsidR="003464D0">
          <w:rPr>
            <w:webHidden/>
          </w:rPr>
        </w:r>
        <w:r w:rsidR="003464D0">
          <w:rPr>
            <w:webHidden/>
          </w:rPr>
          <w:fldChar w:fldCharType="separate"/>
        </w:r>
        <w:r w:rsidR="003464D0">
          <w:rPr>
            <w:webHidden/>
          </w:rPr>
          <w:t>15</w:t>
        </w:r>
        <w:r w:rsidR="003464D0">
          <w:rPr>
            <w:webHidden/>
          </w:rPr>
          <w:fldChar w:fldCharType="end"/>
        </w:r>
      </w:hyperlink>
    </w:p>
    <w:p w14:paraId="5CB1DE56" w14:textId="489B61A8" w:rsidR="003464D0" w:rsidRDefault="00B53CFF">
      <w:pPr>
        <w:pStyle w:val="TOC2"/>
        <w:rPr>
          <w:rFonts w:asciiTheme="minorHAnsi" w:eastAsiaTheme="minorEastAsia" w:hAnsiTheme="minorHAnsi" w:cstheme="minorBidi"/>
          <w:sz w:val="22"/>
          <w:szCs w:val="22"/>
          <w:lang w:eastAsia="en-AU"/>
        </w:rPr>
      </w:pPr>
      <w:hyperlink w:anchor="_Toc42621643" w:history="1">
        <w:r w:rsidR="003464D0" w:rsidRPr="002A2033">
          <w:rPr>
            <w:rStyle w:val="Hyperlink"/>
          </w:rPr>
          <w:t>General requirements</w:t>
        </w:r>
        <w:r w:rsidR="003464D0">
          <w:rPr>
            <w:webHidden/>
          </w:rPr>
          <w:tab/>
        </w:r>
        <w:r w:rsidR="003464D0">
          <w:rPr>
            <w:webHidden/>
          </w:rPr>
          <w:fldChar w:fldCharType="begin"/>
        </w:r>
        <w:r w:rsidR="003464D0">
          <w:rPr>
            <w:webHidden/>
          </w:rPr>
          <w:instrText xml:space="preserve"> PAGEREF _Toc42621643 \h </w:instrText>
        </w:r>
        <w:r w:rsidR="003464D0">
          <w:rPr>
            <w:webHidden/>
          </w:rPr>
        </w:r>
        <w:r w:rsidR="003464D0">
          <w:rPr>
            <w:webHidden/>
          </w:rPr>
          <w:fldChar w:fldCharType="separate"/>
        </w:r>
        <w:r w:rsidR="003464D0">
          <w:rPr>
            <w:webHidden/>
          </w:rPr>
          <w:t>16</w:t>
        </w:r>
        <w:r w:rsidR="003464D0">
          <w:rPr>
            <w:webHidden/>
          </w:rPr>
          <w:fldChar w:fldCharType="end"/>
        </w:r>
      </w:hyperlink>
    </w:p>
    <w:p w14:paraId="2EAB760A" w14:textId="4A7E7441" w:rsidR="003464D0" w:rsidRDefault="00B53CFF">
      <w:pPr>
        <w:pStyle w:val="TOC1"/>
        <w:rPr>
          <w:rFonts w:asciiTheme="minorHAnsi" w:eastAsiaTheme="minorEastAsia" w:hAnsiTheme="minorHAnsi" w:cstheme="minorBidi"/>
          <w:b w:val="0"/>
          <w:sz w:val="22"/>
          <w:szCs w:val="22"/>
          <w:lang w:eastAsia="en-AU"/>
        </w:rPr>
      </w:pPr>
      <w:hyperlink w:anchor="_Toc42621644" w:history="1">
        <w:r w:rsidR="003464D0" w:rsidRPr="002A2033">
          <w:rPr>
            <w:rStyle w:val="Hyperlink"/>
            <w:rFonts w:eastAsia="Calibri"/>
          </w:rPr>
          <w:t>Pneumatic tube</w:t>
        </w:r>
        <w:r w:rsidR="003464D0">
          <w:rPr>
            <w:webHidden/>
          </w:rPr>
          <w:tab/>
        </w:r>
        <w:r w:rsidR="003464D0">
          <w:rPr>
            <w:webHidden/>
          </w:rPr>
          <w:fldChar w:fldCharType="begin"/>
        </w:r>
        <w:r w:rsidR="003464D0">
          <w:rPr>
            <w:webHidden/>
          </w:rPr>
          <w:instrText xml:space="preserve"> PAGEREF _Toc42621644 \h </w:instrText>
        </w:r>
        <w:r w:rsidR="003464D0">
          <w:rPr>
            <w:webHidden/>
          </w:rPr>
        </w:r>
        <w:r w:rsidR="003464D0">
          <w:rPr>
            <w:webHidden/>
          </w:rPr>
          <w:fldChar w:fldCharType="separate"/>
        </w:r>
        <w:r w:rsidR="003464D0">
          <w:rPr>
            <w:webHidden/>
          </w:rPr>
          <w:t>20</w:t>
        </w:r>
        <w:r w:rsidR="003464D0">
          <w:rPr>
            <w:webHidden/>
          </w:rPr>
          <w:fldChar w:fldCharType="end"/>
        </w:r>
      </w:hyperlink>
    </w:p>
    <w:p w14:paraId="02DC2D96" w14:textId="0F4F30FA" w:rsidR="003464D0" w:rsidRDefault="00B53CFF">
      <w:pPr>
        <w:pStyle w:val="TOC2"/>
        <w:rPr>
          <w:rFonts w:asciiTheme="minorHAnsi" w:eastAsiaTheme="minorEastAsia" w:hAnsiTheme="minorHAnsi" w:cstheme="minorBidi"/>
          <w:sz w:val="22"/>
          <w:szCs w:val="22"/>
          <w:lang w:eastAsia="en-AU"/>
        </w:rPr>
      </w:pPr>
      <w:hyperlink w:anchor="_Toc42621645" w:history="1">
        <w:r w:rsidR="003464D0" w:rsidRPr="002A2033">
          <w:rPr>
            <w:rStyle w:val="Hyperlink"/>
          </w:rPr>
          <w:t>Introduction</w:t>
        </w:r>
        <w:r w:rsidR="003464D0">
          <w:rPr>
            <w:webHidden/>
          </w:rPr>
          <w:tab/>
        </w:r>
        <w:r w:rsidR="003464D0">
          <w:rPr>
            <w:webHidden/>
          </w:rPr>
          <w:fldChar w:fldCharType="begin"/>
        </w:r>
        <w:r w:rsidR="003464D0">
          <w:rPr>
            <w:webHidden/>
          </w:rPr>
          <w:instrText xml:space="preserve"> PAGEREF _Toc42621645 \h </w:instrText>
        </w:r>
        <w:r w:rsidR="003464D0">
          <w:rPr>
            <w:webHidden/>
          </w:rPr>
        </w:r>
        <w:r w:rsidR="003464D0">
          <w:rPr>
            <w:webHidden/>
          </w:rPr>
          <w:fldChar w:fldCharType="separate"/>
        </w:r>
        <w:r w:rsidR="003464D0">
          <w:rPr>
            <w:webHidden/>
          </w:rPr>
          <w:t>20</w:t>
        </w:r>
        <w:r w:rsidR="003464D0">
          <w:rPr>
            <w:webHidden/>
          </w:rPr>
          <w:fldChar w:fldCharType="end"/>
        </w:r>
      </w:hyperlink>
    </w:p>
    <w:p w14:paraId="53CD7FB3" w14:textId="67858AEA" w:rsidR="003464D0" w:rsidRDefault="00B53CFF">
      <w:pPr>
        <w:pStyle w:val="TOC2"/>
        <w:rPr>
          <w:rFonts w:asciiTheme="minorHAnsi" w:eastAsiaTheme="minorEastAsia" w:hAnsiTheme="minorHAnsi" w:cstheme="minorBidi"/>
          <w:sz w:val="22"/>
          <w:szCs w:val="22"/>
          <w:lang w:eastAsia="en-AU"/>
        </w:rPr>
      </w:pPr>
      <w:hyperlink w:anchor="_Toc42621646" w:history="1">
        <w:r w:rsidR="003464D0" w:rsidRPr="002A2033">
          <w:rPr>
            <w:rStyle w:val="Hyperlink"/>
          </w:rPr>
          <w:t>General requirements</w:t>
        </w:r>
        <w:r w:rsidR="003464D0">
          <w:rPr>
            <w:webHidden/>
          </w:rPr>
          <w:tab/>
        </w:r>
        <w:r w:rsidR="003464D0">
          <w:rPr>
            <w:webHidden/>
          </w:rPr>
          <w:fldChar w:fldCharType="begin"/>
        </w:r>
        <w:r w:rsidR="003464D0">
          <w:rPr>
            <w:webHidden/>
          </w:rPr>
          <w:instrText xml:space="preserve"> PAGEREF _Toc42621646 \h </w:instrText>
        </w:r>
        <w:r w:rsidR="003464D0">
          <w:rPr>
            <w:webHidden/>
          </w:rPr>
        </w:r>
        <w:r w:rsidR="003464D0">
          <w:rPr>
            <w:webHidden/>
          </w:rPr>
          <w:fldChar w:fldCharType="separate"/>
        </w:r>
        <w:r w:rsidR="003464D0">
          <w:rPr>
            <w:webHidden/>
          </w:rPr>
          <w:t>20</w:t>
        </w:r>
        <w:r w:rsidR="003464D0">
          <w:rPr>
            <w:webHidden/>
          </w:rPr>
          <w:fldChar w:fldCharType="end"/>
        </w:r>
      </w:hyperlink>
    </w:p>
    <w:p w14:paraId="0DA8D651" w14:textId="72AEAEA8" w:rsidR="003464D0" w:rsidRDefault="00B53CFF">
      <w:pPr>
        <w:pStyle w:val="TOC1"/>
        <w:rPr>
          <w:rFonts w:asciiTheme="minorHAnsi" w:eastAsiaTheme="minorEastAsia" w:hAnsiTheme="minorHAnsi" w:cstheme="minorBidi"/>
          <w:b w:val="0"/>
          <w:sz w:val="22"/>
          <w:szCs w:val="22"/>
          <w:lang w:eastAsia="en-AU"/>
        </w:rPr>
      </w:pPr>
      <w:hyperlink w:anchor="_Toc42621647" w:history="1">
        <w:r w:rsidR="003464D0" w:rsidRPr="002A2033">
          <w:rPr>
            <w:rStyle w:val="Hyperlink"/>
            <w:rFonts w:eastAsia="Calibri"/>
          </w:rPr>
          <w:t>Automated guided vehicles (AGV) and autonomous mobile robots (AMR)</w:t>
        </w:r>
        <w:r w:rsidR="003464D0">
          <w:rPr>
            <w:webHidden/>
          </w:rPr>
          <w:tab/>
        </w:r>
        <w:r w:rsidR="003464D0">
          <w:rPr>
            <w:webHidden/>
          </w:rPr>
          <w:fldChar w:fldCharType="begin"/>
        </w:r>
        <w:r w:rsidR="003464D0">
          <w:rPr>
            <w:webHidden/>
          </w:rPr>
          <w:instrText xml:space="preserve"> PAGEREF _Toc42621647 \h </w:instrText>
        </w:r>
        <w:r w:rsidR="003464D0">
          <w:rPr>
            <w:webHidden/>
          </w:rPr>
        </w:r>
        <w:r w:rsidR="003464D0">
          <w:rPr>
            <w:webHidden/>
          </w:rPr>
          <w:fldChar w:fldCharType="separate"/>
        </w:r>
        <w:r w:rsidR="003464D0">
          <w:rPr>
            <w:webHidden/>
          </w:rPr>
          <w:t>21</w:t>
        </w:r>
        <w:r w:rsidR="003464D0">
          <w:rPr>
            <w:webHidden/>
          </w:rPr>
          <w:fldChar w:fldCharType="end"/>
        </w:r>
      </w:hyperlink>
    </w:p>
    <w:p w14:paraId="21329534" w14:textId="535DDED2" w:rsidR="003464D0" w:rsidRDefault="00B53CFF">
      <w:pPr>
        <w:pStyle w:val="TOC2"/>
        <w:rPr>
          <w:rFonts w:asciiTheme="minorHAnsi" w:eastAsiaTheme="minorEastAsia" w:hAnsiTheme="minorHAnsi" w:cstheme="minorBidi"/>
          <w:sz w:val="22"/>
          <w:szCs w:val="22"/>
          <w:lang w:eastAsia="en-AU"/>
        </w:rPr>
      </w:pPr>
      <w:hyperlink w:anchor="_Toc42621648" w:history="1">
        <w:r w:rsidR="003464D0" w:rsidRPr="002A2033">
          <w:rPr>
            <w:rStyle w:val="Hyperlink"/>
          </w:rPr>
          <w:t>Introduction</w:t>
        </w:r>
        <w:r w:rsidR="003464D0">
          <w:rPr>
            <w:webHidden/>
          </w:rPr>
          <w:tab/>
        </w:r>
        <w:r w:rsidR="003464D0">
          <w:rPr>
            <w:webHidden/>
          </w:rPr>
          <w:fldChar w:fldCharType="begin"/>
        </w:r>
        <w:r w:rsidR="003464D0">
          <w:rPr>
            <w:webHidden/>
          </w:rPr>
          <w:instrText xml:space="preserve"> PAGEREF _Toc42621648 \h </w:instrText>
        </w:r>
        <w:r w:rsidR="003464D0">
          <w:rPr>
            <w:webHidden/>
          </w:rPr>
        </w:r>
        <w:r w:rsidR="003464D0">
          <w:rPr>
            <w:webHidden/>
          </w:rPr>
          <w:fldChar w:fldCharType="separate"/>
        </w:r>
        <w:r w:rsidR="003464D0">
          <w:rPr>
            <w:webHidden/>
          </w:rPr>
          <w:t>21</w:t>
        </w:r>
        <w:r w:rsidR="003464D0">
          <w:rPr>
            <w:webHidden/>
          </w:rPr>
          <w:fldChar w:fldCharType="end"/>
        </w:r>
      </w:hyperlink>
    </w:p>
    <w:p w14:paraId="2C92B313" w14:textId="1E802072" w:rsidR="003464D0" w:rsidRDefault="00B53CFF">
      <w:pPr>
        <w:pStyle w:val="TOC2"/>
        <w:rPr>
          <w:rFonts w:asciiTheme="minorHAnsi" w:eastAsiaTheme="minorEastAsia" w:hAnsiTheme="minorHAnsi" w:cstheme="minorBidi"/>
          <w:sz w:val="22"/>
          <w:szCs w:val="22"/>
          <w:lang w:eastAsia="en-AU"/>
        </w:rPr>
      </w:pPr>
      <w:hyperlink w:anchor="_Toc42621649" w:history="1">
        <w:r w:rsidR="003464D0" w:rsidRPr="002A2033">
          <w:rPr>
            <w:rStyle w:val="Hyperlink"/>
          </w:rPr>
          <w:t>Scope</w:t>
        </w:r>
        <w:r w:rsidR="003464D0">
          <w:rPr>
            <w:webHidden/>
          </w:rPr>
          <w:tab/>
        </w:r>
        <w:r w:rsidR="003464D0">
          <w:rPr>
            <w:webHidden/>
          </w:rPr>
          <w:fldChar w:fldCharType="begin"/>
        </w:r>
        <w:r w:rsidR="003464D0">
          <w:rPr>
            <w:webHidden/>
          </w:rPr>
          <w:instrText xml:space="preserve"> PAGEREF _Toc42621649 \h </w:instrText>
        </w:r>
        <w:r w:rsidR="003464D0">
          <w:rPr>
            <w:webHidden/>
          </w:rPr>
        </w:r>
        <w:r w:rsidR="003464D0">
          <w:rPr>
            <w:webHidden/>
          </w:rPr>
          <w:fldChar w:fldCharType="separate"/>
        </w:r>
        <w:r w:rsidR="003464D0">
          <w:rPr>
            <w:webHidden/>
          </w:rPr>
          <w:t>21</w:t>
        </w:r>
        <w:r w:rsidR="003464D0">
          <w:rPr>
            <w:webHidden/>
          </w:rPr>
          <w:fldChar w:fldCharType="end"/>
        </w:r>
      </w:hyperlink>
    </w:p>
    <w:p w14:paraId="12ECA8D0" w14:textId="5B1EC6BF" w:rsidR="003464D0" w:rsidRDefault="00B53CFF">
      <w:pPr>
        <w:pStyle w:val="TOC2"/>
        <w:rPr>
          <w:rFonts w:asciiTheme="minorHAnsi" w:eastAsiaTheme="minorEastAsia" w:hAnsiTheme="minorHAnsi" w:cstheme="minorBidi"/>
          <w:sz w:val="22"/>
          <w:szCs w:val="22"/>
          <w:lang w:eastAsia="en-AU"/>
        </w:rPr>
      </w:pPr>
      <w:hyperlink w:anchor="_Toc42621650" w:history="1">
        <w:r w:rsidR="003464D0" w:rsidRPr="002A2033">
          <w:rPr>
            <w:rStyle w:val="Hyperlink"/>
          </w:rPr>
          <w:t>General requirements</w:t>
        </w:r>
        <w:r w:rsidR="003464D0">
          <w:rPr>
            <w:webHidden/>
          </w:rPr>
          <w:tab/>
        </w:r>
        <w:r w:rsidR="003464D0">
          <w:rPr>
            <w:webHidden/>
          </w:rPr>
          <w:fldChar w:fldCharType="begin"/>
        </w:r>
        <w:r w:rsidR="003464D0">
          <w:rPr>
            <w:webHidden/>
          </w:rPr>
          <w:instrText xml:space="preserve"> PAGEREF _Toc42621650 \h </w:instrText>
        </w:r>
        <w:r w:rsidR="003464D0">
          <w:rPr>
            <w:webHidden/>
          </w:rPr>
        </w:r>
        <w:r w:rsidR="003464D0">
          <w:rPr>
            <w:webHidden/>
          </w:rPr>
          <w:fldChar w:fldCharType="separate"/>
        </w:r>
        <w:r w:rsidR="003464D0">
          <w:rPr>
            <w:webHidden/>
          </w:rPr>
          <w:t>21</w:t>
        </w:r>
        <w:r w:rsidR="003464D0">
          <w:rPr>
            <w:webHidden/>
          </w:rPr>
          <w:fldChar w:fldCharType="end"/>
        </w:r>
      </w:hyperlink>
    </w:p>
    <w:p w14:paraId="1C14DCED" w14:textId="6D836D7D" w:rsidR="003464D0" w:rsidRDefault="00B53CFF">
      <w:pPr>
        <w:pStyle w:val="TOC1"/>
        <w:rPr>
          <w:rFonts w:asciiTheme="minorHAnsi" w:eastAsiaTheme="minorEastAsia" w:hAnsiTheme="minorHAnsi" w:cstheme="minorBidi"/>
          <w:b w:val="0"/>
          <w:sz w:val="22"/>
          <w:szCs w:val="22"/>
          <w:lang w:eastAsia="en-AU"/>
        </w:rPr>
      </w:pPr>
      <w:hyperlink w:anchor="_Toc42621651" w:history="1">
        <w:r w:rsidR="003464D0" w:rsidRPr="002A2033">
          <w:rPr>
            <w:rStyle w:val="Hyperlink"/>
            <w:rFonts w:eastAsia="Calibri"/>
          </w:rPr>
          <w:t>Acoustics</w:t>
        </w:r>
        <w:r w:rsidR="003464D0">
          <w:rPr>
            <w:webHidden/>
          </w:rPr>
          <w:tab/>
        </w:r>
        <w:r w:rsidR="003464D0">
          <w:rPr>
            <w:webHidden/>
          </w:rPr>
          <w:fldChar w:fldCharType="begin"/>
        </w:r>
        <w:r w:rsidR="003464D0">
          <w:rPr>
            <w:webHidden/>
          </w:rPr>
          <w:instrText xml:space="preserve"> PAGEREF _Toc42621651 \h </w:instrText>
        </w:r>
        <w:r w:rsidR="003464D0">
          <w:rPr>
            <w:webHidden/>
          </w:rPr>
        </w:r>
        <w:r w:rsidR="003464D0">
          <w:rPr>
            <w:webHidden/>
          </w:rPr>
          <w:fldChar w:fldCharType="separate"/>
        </w:r>
        <w:r w:rsidR="003464D0">
          <w:rPr>
            <w:webHidden/>
          </w:rPr>
          <w:t>22</w:t>
        </w:r>
        <w:r w:rsidR="003464D0">
          <w:rPr>
            <w:webHidden/>
          </w:rPr>
          <w:fldChar w:fldCharType="end"/>
        </w:r>
      </w:hyperlink>
    </w:p>
    <w:p w14:paraId="676C2DC3" w14:textId="724F130D" w:rsidR="003464D0" w:rsidRDefault="00B53CFF">
      <w:pPr>
        <w:pStyle w:val="TOC2"/>
        <w:rPr>
          <w:rFonts w:asciiTheme="minorHAnsi" w:eastAsiaTheme="minorEastAsia" w:hAnsiTheme="minorHAnsi" w:cstheme="minorBidi"/>
          <w:sz w:val="22"/>
          <w:szCs w:val="22"/>
          <w:lang w:eastAsia="en-AU"/>
        </w:rPr>
      </w:pPr>
      <w:hyperlink w:anchor="_Toc42621652" w:history="1">
        <w:r w:rsidR="003464D0" w:rsidRPr="002A2033">
          <w:rPr>
            <w:rStyle w:val="Hyperlink"/>
          </w:rPr>
          <w:t>Introduction</w:t>
        </w:r>
        <w:r w:rsidR="003464D0">
          <w:rPr>
            <w:webHidden/>
          </w:rPr>
          <w:tab/>
        </w:r>
        <w:r w:rsidR="003464D0">
          <w:rPr>
            <w:webHidden/>
          </w:rPr>
          <w:fldChar w:fldCharType="begin"/>
        </w:r>
        <w:r w:rsidR="003464D0">
          <w:rPr>
            <w:webHidden/>
          </w:rPr>
          <w:instrText xml:space="preserve"> PAGEREF _Toc42621652 \h </w:instrText>
        </w:r>
        <w:r w:rsidR="003464D0">
          <w:rPr>
            <w:webHidden/>
          </w:rPr>
        </w:r>
        <w:r w:rsidR="003464D0">
          <w:rPr>
            <w:webHidden/>
          </w:rPr>
          <w:fldChar w:fldCharType="separate"/>
        </w:r>
        <w:r w:rsidR="003464D0">
          <w:rPr>
            <w:webHidden/>
          </w:rPr>
          <w:t>22</w:t>
        </w:r>
        <w:r w:rsidR="003464D0">
          <w:rPr>
            <w:webHidden/>
          </w:rPr>
          <w:fldChar w:fldCharType="end"/>
        </w:r>
      </w:hyperlink>
    </w:p>
    <w:p w14:paraId="3C247E7D" w14:textId="0BB79EDA" w:rsidR="003464D0" w:rsidRDefault="00B53CFF">
      <w:pPr>
        <w:pStyle w:val="TOC2"/>
        <w:rPr>
          <w:rFonts w:asciiTheme="minorHAnsi" w:eastAsiaTheme="minorEastAsia" w:hAnsiTheme="minorHAnsi" w:cstheme="minorBidi"/>
          <w:sz w:val="22"/>
          <w:szCs w:val="22"/>
          <w:lang w:eastAsia="en-AU"/>
        </w:rPr>
      </w:pPr>
      <w:hyperlink w:anchor="_Toc42621653" w:history="1">
        <w:r w:rsidR="003464D0" w:rsidRPr="002A2033">
          <w:rPr>
            <w:rStyle w:val="Hyperlink"/>
          </w:rPr>
          <w:t>Scope</w:t>
        </w:r>
        <w:r w:rsidR="003464D0">
          <w:rPr>
            <w:webHidden/>
          </w:rPr>
          <w:tab/>
        </w:r>
        <w:r w:rsidR="003464D0">
          <w:rPr>
            <w:webHidden/>
          </w:rPr>
          <w:fldChar w:fldCharType="begin"/>
        </w:r>
        <w:r w:rsidR="003464D0">
          <w:rPr>
            <w:webHidden/>
          </w:rPr>
          <w:instrText xml:space="preserve"> PAGEREF _Toc42621653 \h </w:instrText>
        </w:r>
        <w:r w:rsidR="003464D0">
          <w:rPr>
            <w:webHidden/>
          </w:rPr>
        </w:r>
        <w:r w:rsidR="003464D0">
          <w:rPr>
            <w:webHidden/>
          </w:rPr>
          <w:fldChar w:fldCharType="separate"/>
        </w:r>
        <w:r w:rsidR="003464D0">
          <w:rPr>
            <w:webHidden/>
          </w:rPr>
          <w:t>22</w:t>
        </w:r>
        <w:r w:rsidR="003464D0">
          <w:rPr>
            <w:webHidden/>
          </w:rPr>
          <w:fldChar w:fldCharType="end"/>
        </w:r>
      </w:hyperlink>
    </w:p>
    <w:p w14:paraId="5F15436C" w14:textId="761B1B18" w:rsidR="003464D0" w:rsidRDefault="00B53CFF">
      <w:pPr>
        <w:pStyle w:val="TOC2"/>
        <w:rPr>
          <w:rFonts w:asciiTheme="minorHAnsi" w:eastAsiaTheme="minorEastAsia" w:hAnsiTheme="minorHAnsi" w:cstheme="minorBidi"/>
          <w:sz w:val="22"/>
          <w:szCs w:val="22"/>
          <w:lang w:eastAsia="en-AU"/>
        </w:rPr>
      </w:pPr>
      <w:hyperlink w:anchor="_Toc42621654" w:history="1">
        <w:r w:rsidR="003464D0" w:rsidRPr="002A2033">
          <w:rPr>
            <w:rStyle w:val="Hyperlink"/>
          </w:rPr>
          <w:t>General requirements</w:t>
        </w:r>
        <w:r w:rsidR="003464D0">
          <w:rPr>
            <w:webHidden/>
          </w:rPr>
          <w:tab/>
        </w:r>
        <w:r w:rsidR="003464D0">
          <w:rPr>
            <w:webHidden/>
          </w:rPr>
          <w:fldChar w:fldCharType="begin"/>
        </w:r>
        <w:r w:rsidR="003464D0">
          <w:rPr>
            <w:webHidden/>
          </w:rPr>
          <w:instrText xml:space="preserve"> PAGEREF _Toc42621654 \h </w:instrText>
        </w:r>
        <w:r w:rsidR="003464D0">
          <w:rPr>
            <w:webHidden/>
          </w:rPr>
        </w:r>
        <w:r w:rsidR="003464D0">
          <w:rPr>
            <w:webHidden/>
          </w:rPr>
          <w:fldChar w:fldCharType="separate"/>
        </w:r>
        <w:r w:rsidR="003464D0">
          <w:rPr>
            <w:webHidden/>
          </w:rPr>
          <w:t>23</w:t>
        </w:r>
        <w:r w:rsidR="003464D0">
          <w:rPr>
            <w:webHidden/>
          </w:rPr>
          <w:fldChar w:fldCharType="end"/>
        </w:r>
      </w:hyperlink>
    </w:p>
    <w:p w14:paraId="4DC8610C" w14:textId="58892298" w:rsidR="003464D0" w:rsidRDefault="00B53CFF">
      <w:pPr>
        <w:pStyle w:val="TOC2"/>
        <w:rPr>
          <w:rFonts w:asciiTheme="minorHAnsi" w:eastAsiaTheme="minorEastAsia" w:hAnsiTheme="minorHAnsi" w:cstheme="minorBidi"/>
          <w:sz w:val="22"/>
          <w:szCs w:val="22"/>
          <w:lang w:eastAsia="en-AU"/>
        </w:rPr>
      </w:pPr>
      <w:hyperlink w:anchor="_Toc42621655" w:history="1">
        <w:r w:rsidR="003464D0" w:rsidRPr="002A2033">
          <w:rPr>
            <w:rStyle w:val="Hyperlink"/>
          </w:rPr>
          <w:t>Noise from engineering services</w:t>
        </w:r>
        <w:r w:rsidR="003464D0">
          <w:rPr>
            <w:webHidden/>
          </w:rPr>
          <w:tab/>
        </w:r>
        <w:r w:rsidR="003464D0">
          <w:rPr>
            <w:webHidden/>
          </w:rPr>
          <w:fldChar w:fldCharType="begin"/>
        </w:r>
        <w:r w:rsidR="003464D0">
          <w:rPr>
            <w:webHidden/>
          </w:rPr>
          <w:instrText xml:space="preserve"> PAGEREF _Toc42621655 \h </w:instrText>
        </w:r>
        <w:r w:rsidR="003464D0">
          <w:rPr>
            <w:webHidden/>
          </w:rPr>
        </w:r>
        <w:r w:rsidR="003464D0">
          <w:rPr>
            <w:webHidden/>
          </w:rPr>
          <w:fldChar w:fldCharType="separate"/>
        </w:r>
        <w:r w:rsidR="003464D0">
          <w:rPr>
            <w:webHidden/>
          </w:rPr>
          <w:t>23</w:t>
        </w:r>
        <w:r w:rsidR="003464D0">
          <w:rPr>
            <w:webHidden/>
          </w:rPr>
          <w:fldChar w:fldCharType="end"/>
        </w:r>
      </w:hyperlink>
    </w:p>
    <w:p w14:paraId="1B3FE8E5" w14:textId="435F2ACC" w:rsidR="003464D0" w:rsidRDefault="00B53CFF">
      <w:pPr>
        <w:pStyle w:val="TOC2"/>
        <w:rPr>
          <w:rFonts w:asciiTheme="minorHAnsi" w:eastAsiaTheme="minorEastAsia" w:hAnsiTheme="minorHAnsi" w:cstheme="minorBidi"/>
          <w:sz w:val="22"/>
          <w:szCs w:val="22"/>
          <w:lang w:eastAsia="en-AU"/>
        </w:rPr>
      </w:pPr>
      <w:hyperlink w:anchor="_Toc42621656" w:history="1">
        <w:r w:rsidR="003464D0" w:rsidRPr="002A2033">
          <w:rPr>
            <w:rStyle w:val="Hyperlink"/>
          </w:rPr>
          <w:t>Reverberation time control</w:t>
        </w:r>
        <w:r w:rsidR="003464D0">
          <w:rPr>
            <w:webHidden/>
          </w:rPr>
          <w:tab/>
        </w:r>
        <w:r w:rsidR="003464D0">
          <w:rPr>
            <w:webHidden/>
          </w:rPr>
          <w:fldChar w:fldCharType="begin"/>
        </w:r>
        <w:r w:rsidR="003464D0">
          <w:rPr>
            <w:webHidden/>
          </w:rPr>
          <w:instrText xml:space="preserve"> PAGEREF _Toc42621656 \h </w:instrText>
        </w:r>
        <w:r w:rsidR="003464D0">
          <w:rPr>
            <w:webHidden/>
          </w:rPr>
        </w:r>
        <w:r w:rsidR="003464D0">
          <w:rPr>
            <w:webHidden/>
          </w:rPr>
          <w:fldChar w:fldCharType="separate"/>
        </w:r>
        <w:r w:rsidR="003464D0">
          <w:rPr>
            <w:webHidden/>
          </w:rPr>
          <w:t>23</w:t>
        </w:r>
        <w:r w:rsidR="003464D0">
          <w:rPr>
            <w:webHidden/>
          </w:rPr>
          <w:fldChar w:fldCharType="end"/>
        </w:r>
      </w:hyperlink>
    </w:p>
    <w:p w14:paraId="7DD6635E" w14:textId="70491657" w:rsidR="003464D0" w:rsidRDefault="00B53CFF">
      <w:pPr>
        <w:pStyle w:val="TOC2"/>
        <w:rPr>
          <w:rFonts w:asciiTheme="minorHAnsi" w:eastAsiaTheme="minorEastAsia" w:hAnsiTheme="minorHAnsi" w:cstheme="minorBidi"/>
          <w:sz w:val="22"/>
          <w:szCs w:val="22"/>
          <w:lang w:eastAsia="en-AU"/>
        </w:rPr>
      </w:pPr>
      <w:hyperlink w:anchor="_Toc42621657" w:history="1">
        <w:r w:rsidR="003464D0" w:rsidRPr="002A2033">
          <w:rPr>
            <w:rStyle w:val="Hyperlink"/>
          </w:rPr>
          <w:t>Rain noise</w:t>
        </w:r>
        <w:r w:rsidR="003464D0">
          <w:rPr>
            <w:webHidden/>
          </w:rPr>
          <w:tab/>
        </w:r>
        <w:r w:rsidR="003464D0">
          <w:rPr>
            <w:webHidden/>
          </w:rPr>
          <w:fldChar w:fldCharType="begin"/>
        </w:r>
        <w:r w:rsidR="003464D0">
          <w:rPr>
            <w:webHidden/>
          </w:rPr>
          <w:instrText xml:space="preserve"> PAGEREF _Toc42621657 \h </w:instrText>
        </w:r>
        <w:r w:rsidR="003464D0">
          <w:rPr>
            <w:webHidden/>
          </w:rPr>
        </w:r>
        <w:r w:rsidR="003464D0">
          <w:rPr>
            <w:webHidden/>
          </w:rPr>
          <w:fldChar w:fldCharType="separate"/>
        </w:r>
        <w:r w:rsidR="003464D0">
          <w:rPr>
            <w:webHidden/>
          </w:rPr>
          <w:t>24</w:t>
        </w:r>
        <w:r w:rsidR="003464D0">
          <w:rPr>
            <w:webHidden/>
          </w:rPr>
          <w:fldChar w:fldCharType="end"/>
        </w:r>
      </w:hyperlink>
    </w:p>
    <w:p w14:paraId="24AF069C" w14:textId="6007E6AD" w:rsidR="003464D0" w:rsidRDefault="00B53CFF">
      <w:pPr>
        <w:pStyle w:val="TOC2"/>
        <w:rPr>
          <w:rFonts w:asciiTheme="minorHAnsi" w:eastAsiaTheme="minorEastAsia" w:hAnsiTheme="minorHAnsi" w:cstheme="minorBidi"/>
          <w:sz w:val="22"/>
          <w:szCs w:val="22"/>
          <w:lang w:eastAsia="en-AU"/>
        </w:rPr>
      </w:pPr>
      <w:hyperlink w:anchor="_Toc42621658" w:history="1">
        <w:r w:rsidR="003464D0" w:rsidRPr="002A2033">
          <w:rPr>
            <w:rStyle w:val="Hyperlink"/>
          </w:rPr>
          <w:t>Atrium design</w:t>
        </w:r>
        <w:r w:rsidR="003464D0">
          <w:rPr>
            <w:webHidden/>
          </w:rPr>
          <w:tab/>
        </w:r>
        <w:r w:rsidR="003464D0">
          <w:rPr>
            <w:webHidden/>
          </w:rPr>
          <w:fldChar w:fldCharType="begin"/>
        </w:r>
        <w:r w:rsidR="003464D0">
          <w:rPr>
            <w:webHidden/>
          </w:rPr>
          <w:instrText xml:space="preserve"> PAGEREF _Toc42621658 \h </w:instrText>
        </w:r>
        <w:r w:rsidR="003464D0">
          <w:rPr>
            <w:webHidden/>
          </w:rPr>
        </w:r>
        <w:r w:rsidR="003464D0">
          <w:rPr>
            <w:webHidden/>
          </w:rPr>
          <w:fldChar w:fldCharType="separate"/>
        </w:r>
        <w:r w:rsidR="003464D0">
          <w:rPr>
            <w:webHidden/>
          </w:rPr>
          <w:t>24</w:t>
        </w:r>
        <w:r w:rsidR="003464D0">
          <w:rPr>
            <w:webHidden/>
          </w:rPr>
          <w:fldChar w:fldCharType="end"/>
        </w:r>
      </w:hyperlink>
    </w:p>
    <w:p w14:paraId="699D5314" w14:textId="40FE3FC8" w:rsidR="003464D0" w:rsidRDefault="00B53CFF">
      <w:pPr>
        <w:pStyle w:val="TOC1"/>
        <w:rPr>
          <w:rFonts w:asciiTheme="minorHAnsi" w:eastAsiaTheme="minorEastAsia" w:hAnsiTheme="minorHAnsi" w:cstheme="minorBidi"/>
          <w:b w:val="0"/>
          <w:sz w:val="22"/>
          <w:szCs w:val="22"/>
          <w:lang w:eastAsia="en-AU"/>
        </w:rPr>
      </w:pPr>
      <w:hyperlink w:anchor="_Toc42621659" w:history="1">
        <w:r w:rsidR="003464D0" w:rsidRPr="002A2033">
          <w:rPr>
            <w:rStyle w:val="Hyperlink"/>
            <w:rFonts w:eastAsia="Calibri"/>
          </w:rPr>
          <w:t>Helipad</w:t>
        </w:r>
        <w:r w:rsidR="003464D0">
          <w:rPr>
            <w:webHidden/>
          </w:rPr>
          <w:tab/>
        </w:r>
        <w:r w:rsidR="003464D0">
          <w:rPr>
            <w:webHidden/>
          </w:rPr>
          <w:fldChar w:fldCharType="begin"/>
        </w:r>
        <w:r w:rsidR="003464D0">
          <w:rPr>
            <w:webHidden/>
          </w:rPr>
          <w:instrText xml:space="preserve"> PAGEREF _Toc42621659 \h </w:instrText>
        </w:r>
        <w:r w:rsidR="003464D0">
          <w:rPr>
            <w:webHidden/>
          </w:rPr>
        </w:r>
        <w:r w:rsidR="003464D0">
          <w:rPr>
            <w:webHidden/>
          </w:rPr>
          <w:fldChar w:fldCharType="separate"/>
        </w:r>
        <w:r w:rsidR="003464D0">
          <w:rPr>
            <w:webHidden/>
          </w:rPr>
          <w:t>25</w:t>
        </w:r>
        <w:r w:rsidR="003464D0">
          <w:rPr>
            <w:webHidden/>
          </w:rPr>
          <w:fldChar w:fldCharType="end"/>
        </w:r>
      </w:hyperlink>
    </w:p>
    <w:p w14:paraId="5389203F" w14:textId="6DFCE51A" w:rsidR="003464D0" w:rsidRDefault="00B53CFF">
      <w:pPr>
        <w:pStyle w:val="TOC2"/>
        <w:rPr>
          <w:rFonts w:asciiTheme="minorHAnsi" w:eastAsiaTheme="minorEastAsia" w:hAnsiTheme="minorHAnsi" w:cstheme="minorBidi"/>
          <w:sz w:val="22"/>
          <w:szCs w:val="22"/>
          <w:lang w:eastAsia="en-AU"/>
        </w:rPr>
      </w:pPr>
      <w:hyperlink w:anchor="_Toc42621660" w:history="1">
        <w:r w:rsidR="003464D0" w:rsidRPr="002A2033">
          <w:rPr>
            <w:rStyle w:val="Hyperlink"/>
          </w:rPr>
          <w:t>General</w:t>
        </w:r>
        <w:r w:rsidR="003464D0">
          <w:rPr>
            <w:webHidden/>
          </w:rPr>
          <w:tab/>
        </w:r>
        <w:r w:rsidR="003464D0">
          <w:rPr>
            <w:webHidden/>
          </w:rPr>
          <w:fldChar w:fldCharType="begin"/>
        </w:r>
        <w:r w:rsidR="003464D0">
          <w:rPr>
            <w:webHidden/>
          </w:rPr>
          <w:instrText xml:space="preserve"> PAGEREF _Toc42621660 \h </w:instrText>
        </w:r>
        <w:r w:rsidR="003464D0">
          <w:rPr>
            <w:webHidden/>
          </w:rPr>
        </w:r>
        <w:r w:rsidR="003464D0">
          <w:rPr>
            <w:webHidden/>
          </w:rPr>
          <w:fldChar w:fldCharType="separate"/>
        </w:r>
        <w:r w:rsidR="003464D0">
          <w:rPr>
            <w:webHidden/>
          </w:rPr>
          <w:t>25</w:t>
        </w:r>
        <w:r w:rsidR="003464D0">
          <w:rPr>
            <w:webHidden/>
          </w:rPr>
          <w:fldChar w:fldCharType="end"/>
        </w:r>
      </w:hyperlink>
    </w:p>
    <w:p w14:paraId="4EA70600" w14:textId="20E11D76" w:rsidR="003464D0" w:rsidRDefault="00B53CFF">
      <w:pPr>
        <w:pStyle w:val="TOC2"/>
        <w:rPr>
          <w:rFonts w:asciiTheme="minorHAnsi" w:eastAsiaTheme="minorEastAsia" w:hAnsiTheme="minorHAnsi" w:cstheme="minorBidi"/>
          <w:sz w:val="22"/>
          <w:szCs w:val="22"/>
          <w:lang w:eastAsia="en-AU"/>
        </w:rPr>
      </w:pPr>
      <w:hyperlink w:anchor="_Toc42621661" w:history="1">
        <w:r w:rsidR="003464D0" w:rsidRPr="002A2033">
          <w:rPr>
            <w:rStyle w:val="Hyperlink"/>
          </w:rPr>
          <w:t>Medical helicopter noise</w:t>
        </w:r>
        <w:r w:rsidR="003464D0">
          <w:rPr>
            <w:webHidden/>
          </w:rPr>
          <w:tab/>
        </w:r>
        <w:r w:rsidR="003464D0">
          <w:rPr>
            <w:webHidden/>
          </w:rPr>
          <w:fldChar w:fldCharType="begin"/>
        </w:r>
        <w:r w:rsidR="003464D0">
          <w:rPr>
            <w:webHidden/>
          </w:rPr>
          <w:instrText xml:space="preserve"> PAGEREF _Toc42621661 \h </w:instrText>
        </w:r>
        <w:r w:rsidR="003464D0">
          <w:rPr>
            <w:webHidden/>
          </w:rPr>
        </w:r>
        <w:r w:rsidR="003464D0">
          <w:rPr>
            <w:webHidden/>
          </w:rPr>
          <w:fldChar w:fldCharType="separate"/>
        </w:r>
        <w:r w:rsidR="003464D0">
          <w:rPr>
            <w:webHidden/>
          </w:rPr>
          <w:t>25</w:t>
        </w:r>
        <w:r w:rsidR="003464D0">
          <w:rPr>
            <w:webHidden/>
          </w:rPr>
          <w:fldChar w:fldCharType="end"/>
        </w:r>
      </w:hyperlink>
    </w:p>
    <w:p w14:paraId="789E042A" w14:textId="0627078E" w:rsidR="003464D0" w:rsidRDefault="00B53CFF">
      <w:pPr>
        <w:pStyle w:val="TOC2"/>
        <w:rPr>
          <w:rFonts w:asciiTheme="minorHAnsi" w:eastAsiaTheme="minorEastAsia" w:hAnsiTheme="minorHAnsi" w:cstheme="minorBidi"/>
          <w:sz w:val="22"/>
          <w:szCs w:val="22"/>
          <w:lang w:eastAsia="en-AU"/>
        </w:rPr>
      </w:pPr>
      <w:hyperlink w:anchor="_Toc42621662" w:history="1">
        <w:r w:rsidR="003464D0" w:rsidRPr="002A2033">
          <w:rPr>
            <w:rStyle w:val="Hyperlink"/>
          </w:rPr>
          <w:t>Ventilation systems</w:t>
        </w:r>
        <w:r w:rsidR="003464D0">
          <w:rPr>
            <w:webHidden/>
          </w:rPr>
          <w:tab/>
        </w:r>
        <w:r w:rsidR="003464D0">
          <w:rPr>
            <w:webHidden/>
          </w:rPr>
          <w:fldChar w:fldCharType="begin"/>
        </w:r>
        <w:r w:rsidR="003464D0">
          <w:rPr>
            <w:webHidden/>
          </w:rPr>
          <w:instrText xml:space="preserve"> PAGEREF _Toc42621662 \h </w:instrText>
        </w:r>
        <w:r w:rsidR="003464D0">
          <w:rPr>
            <w:webHidden/>
          </w:rPr>
        </w:r>
        <w:r w:rsidR="003464D0">
          <w:rPr>
            <w:webHidden/>
          </w:rPr>
          <w:fldChar w:fldCharType="separate"/>
        </w:r>
        <w:r w:rsidR="003464D0">
          <w:rPr>
            <w:webHidden/>
          </w:rPr>
          <w:t>25</w:t>
        </w:r>
        <w:r w:rsidR="003464D0">
          <w:rPr>
            <w:webHidden/>
          </w:rPr>
          <w:fldChar w:fldCharType="end"/>
        </w:r>
      </w:hyperlink>
    </w:p>
    <w:p w14:paraId="6112BB1D" w14:textId="35212D47" w:rsidR="003464D0" w:rsidRDefault="00B53CFF">
      <w:pPr>
        <w:pStyle w:val="TOC2"/>
        <w:rPr>
          <w:rFonts w:asciiTheme="minorHAnsi" w:eastAsiaTheme="minorEastAsia" w:hAnsiTheme="minorHAnsi" w:cstheme="minorBidi"/>
          <w:sz w:val="22"/>
          <w:szCs w:val="22"/>
          <w:lang w:eastAsia="en-AU"/>
        </w:rPr>
      </w:pPr>
      <w:hyperlink w:anchor="_Toc42621663" w:history="1">
        <w:r w:rsidR="003464D0" w:rsidRPr="002A2033">
          <w:rPr>
            <w:rStyle w:val="Hyperlink"/>
          </w:rPr>
          <w:t>Fire services</w:t>
        </w:r>
        <w:r w:rsidR="003464D0">
          <w:rPr>
            <w:webHidden/>
          </w:rPr>
          <w:tab/>
        </w:r>
        <w:r w:rsidR="003464D0">
          <w:rPr>
            <w:webHidden/>
          </w:rPr>
          <w:fldChar w:fldCharType="begin"/>
        </w:r>
        <w:r w:rsidR="003464D0">
          <w:rPr>
            <w:webHidden/>
          </w:rPr>
          <w:instrText xml:space="preserve"> PAGEREF _Toc42621663 \h </w:instrText>
        </w:r>
        <w:r w:rsidR="003464D0">
          <w:rPr>
            <w:webHidden/>
          </w:rPr>
        </w:r>
        <w:r w:rsidR="003464D0">
          <w:rPr>
            <w:webHidden/>
          </w:rPr>
          <w:fldChar w:fldCharType="separate"/>
        </w:r>
        <w:r w:rsidR="003464D0">
          <w:rPr>
            <w:webHidden/>
          </w:rPr>
          <w:t>25</w:t>
        </w:r>
        <w:r w:rsidR="003464D0">
          <w:rPr>
            <w:webHidden/>
          </w:rPr>
          <w:fldChar w:fldCharType="end"/>
        </w:r>
      </w:hyperlink>
    </w:p>
    <w:p w14:paraId="26A12B1E" w14:textId="7D3FD39E" w:rsidR="003464D0" w:rsidRDefault="00B53CFF">
      <w:pPr>
        <w:pStyle w:val="TOC2"/>
        <w:rPr>
          <w:rFonts w:asciiTheme="minorHAnsi" w:eastAsiaTheme="minorEastAsia" w:hAnsiTheme="minorHAnsi" w:cstheme="minorBidi"/>
          <w:sz w:val="22"/>
          <w:szCs w:val="22"/>
          <w:lang w:eastAsia="en-AU"/>
        </w:rPr>
      </w:pPr>
      <w:hyperlink w:anchor="_Toc42621664" w:history="1">
        <w:r w:rsidR="003464D0" w:rsidRPr="002A2033">
          <w:rPr>
            <w:rStyle w:val="Hyperlink"/>
          </w:rPr>
          <w:t>Drainage</w:t>
        </w:r>
        <w:r w:rsidR="003464D0">
          <w:rPr>
            <w:webHidden/>
          </w:rPr>
          <w:tab/>
        </w:r>
        <w:r w:rsidR="003464D0">
          <w:rPr>
            <w:webHidden/>
          </w:rPr>
          <w:fldChar w:fldCharType="begin"/>
        </w:r>
        <w:r w:rsidR="003464D0">
          <w:rPr>
            <w:webHidden/>
          </w:rPr>
          <w:instrText xml:space="preserve"> PAGEREF _Toc42621664 \h </w:instrText>
        </w:r>
        <w:r w:rsidR="003464D0">
          <w:rPr>
            <w:webHidden/>
          </w:rPr>
        </w:r>
        <w:r w:rsidR="003464D0">
          <w:rPr>
            <w:webHidden/>
          </w:rPr>
          <w:fldChar w:fldCharType="separate"/>
        </w:r>
        <w:r w:rsidR="003464D0">
          <w:rPr>
            <w:webHidden/>
          </w:rPr>
          <w:t>26</w:t>
        </w:r>
        <w:r w:rsidR="003464D0">
          <w:rPr>
            <w:webHidden/>
          </w:rPr>
          <w:fldChar w:fldCharType="end"/>
        </w:r>
      </w:hyperlink>
    </w:p>
    <w:p w14:paraId="0FFFE0BD" w14:textId="6EF9340B" w:rsidR="003464D0" w:rsidRDefault="00B53CFF">
      <w:pPr>
        <w:pStyle w:val="TOC2"/>
        <w:rPr>
          <w:rFonts w:asciiTheme="minorHAnsi" w:eastAsiaTheme="minorEastAsia" w:hAnsiTheme="minorHAnsi" w:cstheme="minorBidi"/>
          <w:sz w:val="22"/>
          <w:szCs w:val="22"/>
          <w:lang w:eastAsia="en-AU"/>
        </w:rPr>
      </w:pPr>
      <w:hyperlink w:anchor="_Toc42621665" w:history="1">
        <w:r w:rsidR="003464D0" w:rsidRPr="002A2033">
          <w:rPr>
            <w:rStyle w:val="Hyperlink"/>
          </w:rPr>
          <w:t>Bulk storage cylinders</w:t>
        </w:r>
        <w:r w:rsidR="003464D0">
          <w:rPr>
            <w:webHidden/>
          </w:rPr>
          <w:tab/>
        </w:r>
        <w:r w:rsidR="003464D0">
          <w:rPr>
            <w:webHidden/>
          </w:rPr>
          <w:fldChar w:fldCharType="begin"/>
        </w:r>
        <w:r w:rsidR="003464D0">
          <w:rPr>
            <w:webHidden/>
          </w:rPr>
          <w:instrText xml:space="preserve"> PAGEREF _Toc42621665 \h </w:instrText>
        </w:r>
        <w:r w:rsidR="003464D0">
          <w:rPr>
            <w:webHidden/>
          </w:rPr>
        </w:r>
        <w:r w:rsidR="003464D0">
          <w:rPr>
            <w:webHidden/>
          </w:rPr>
          <w:fldChar w:fldCharType="separate"/>
        </w:r>
        <w:r w:rsidR="003464D0">
          <w:rPr>
            <w:webHidden/>
          </w:rPr>
          <w:t>26</w:t>
        </w:r>
        <w:r w:rsidR="003464D0">
          <w:rPr>
            <w:webHidden/>
          </w:rPr>
          <w:fldChar w:fldCharType="end"/>
        </w:r>
      </w:hyperlink>
    </w:p>
    <w:p w14:paraId="665D6708" w14:textId="661F5215" w:rsidR="003464D0" w:rsidRDefault="00B53CFF">
      <w:pPr>
        <w:pStyle w:val="TOC2"/>
        <w:rPr>
          <w:rFonts w:asciiTheme="minorHAnsi" w:eastAsiaTheme="minorEastAsia" w:hAnsiTheme="minorHAnsi" w:cstheme="minorBidi"/>
          <w:sz w:val="22"/>
          <w:szCs w:val="22"/>
          <w:lang w:eastAsia="en-AU"/>
        </w:rPr>
      </w:pPr>
      <w:hyperlink w:anchor="_Toc42621666" w:history="1">
        <w:r w:rsidR="003464D0" w:rsidRPr="002A2033">
          <w:rPr>
            <w:rStyle w:val="Hyperlink"/>
          </w:rPr>
          <w:t>Design and construction advice</w:t>
        </w:r>
        <w:r w:rsidR="003464D0">
          <w:rPr>
            <w:webHidden/>
          </w:rPr>
          <w:tab/>
        </w:r>
        <w:r w:rsidR="003464D0">
          <w:rPr>
            <w:webHidden/>
          </w:rPr>
          <w:fldChar w:fldCharType="begin"/>
        </w:r>
        <w:r w:rsidR="003464D0">
          <w:rPr>
            <w:webHidden/>
          </w:rPr>
          <w:instrText xml:space="preserve"> PAGEREF _Toc42621666 \h </w:instrText>
        </w:r>
        <w:r w:rsidR="003464D0">
          <w:rPr>
            <w:webHidden/>
          </w:rPr>
        </w:r>
        <w:r w:rsidR="003464D0">
          <w:rPr>
            <w:webHidden/>
          </w:rPr>
          <w:fldChar w:fldCharType="separate"/>
        </w:r>
        <w:r w:rsidR="003464D0">
          <w:rPr>
            <w:webHidden/>
          </w:rPr>
          <w:t>26</w:t>
        </w:r>
        <w:r w:rsidR="003464D0">
          <w:rPr>
            <w:webHidden/>
          </w:rPr>
          <w:fldChar w:fldCharType="end"/>
        </w:r>
      </w:hyperlink>
    </w:p>
    <w:p w14:paraId="28469CD6" w14:textId="1DFEDD90" w:rsidR="003464D0" w:rsidRDefault="00B53CFF">
      <w:pPr>
        <w:pStyle w:val="TOC1"/>
        <w:rPr>
          <w:rFonts w:asciiTheme="minorHAnsi" w:eastAsiaTheme="minorEastAsia" w:hAnsiTheme="minorHAnsi" w:cstheme="minorBidi"/>
          <w:b w:val="0"/>
          <w:sz w:val="22"/>
          <w:szCs w:val="22"/>
          <w:lang w:eastAsia="en-AU"/>
        </w:rPr>
      </w:pPr>
      <w:hyperlink w:anchor="_Toc42621667" w:history="1">
        <w:r w:rsidR="003464D0" w:rsidRPr="002A2033">
          <w:rPr>
            <w:rStyle w:val="Hyperlink"/>
            <w:rFonts w:eastAsia="Calibri"/>
          </w:rPr>
          <w:t>Structural</w:t>
        </w:r>
        <w:r w:rsidR="003464D0">
          <w:rPr>
            <w:webHidden/>
          </w:rPr>
          <w:tab/>
        </w:r>
        <w:r w:rsidR="003464D0">
          <w:rPr>
            <w:webHidden/>
          </w:rPr>
          <w:fldChar w:fldCharType="begin"/>
        </w:r>
        <w:r w:rsidR="003464D0">
          <w:rPr>
            <w:webHidden/>
          </w:rPr>
          <w:instrText xml:space="preserve"> PAGEREF _Toc42621667 \h </w:instrText>
        </w:r>
        <w:r w:rsidR="003464D0">
          <w:rPr>
            <w:webHidden/>
          </w:rPr>
        </w:r>
        <w:r w:rsidR="003464D0">
          <w:rPr>
            <w:webHidden/>
          </w:rPr>
          <w:fldChar w:fldCharType="separate"/>
        </w:r>
        <w:r w:rsidR="003464D0">
          <w:rPr>
            <w:webHidden/>
          </w:rPr>
          <w:t>27</w:t>
        </w:r>
        <w:r w:rsidR="003464D0">
          <w:rPr>
            <w:webHidden/>
          </w:rPr>
          <w:fldChar w:fldCharType="end"/>
        </w:r>
      </w:hyperlink>
    </w:p>
    <w:p w14:paraId="37FB8C0B" w14:textId="446EEBBF" w:rsidR="003464D0" w:rsidRDefault="00B53CFF">
      <w:pPr>
        <w:pStyle w:val="TOC2"/>
        <w:rPr>
          <w:rFonts w:asciiTheme="minorHAnsi" w:eastAsiaTheme="minorEastAsia" w:hAnsiTheme="minorHAnsi" w:cstheme="minorBidi"/>
          <w:sz w:val="22"/>
          <w:szCs w:val="22"/>
          <w:lang w:eastAsia="en-AU"/>
        </w:rPr>
      </w:pPr>
      <w:hyperlink w:anchor="_Toc42621668" w:history="1">
        <w:r w:rsidR="003464D0" w:rsidRPr="002A2033">
          <w:rPr>
            <w:rStyle w:val="Hyperlink"/>
          </w:rPr>
          <w:t>Minimum requirements</w:t>
        </w:r>
        <w:r w:rsidR="003464D0">
          <w:rPr>
            <w:webHidden/>
          </w:rPr>
          <w:tab/>
        </w:r>
        <w:r w:rsidR="003464D0">
          <w:rPr>
            <w:webHidden/>
          </w:rPr>
          <w:fldChar w:fldCharType="begin"/>
        </w:r>
        <w:r w:rsidR="003464D0">
          <w:rPr>
            <w:webHidden/>
          </w:rPr>
          <w:instrText xml:space="preserve"> PAGEREF _Toc42621668 \h </w:instrText>
        </w:r>
        <w:r w:rsidR="003464D0">
          <w:rPr>
            <w:webHidden/>
          </w:rPr>
        </w:r>
        <w:r w:rsidR="003464D0">
          <w:rPr>
            <w:webHidden/>
          </w:rPr>
          <w:fldChar w:fldCharType="separate"/>
        </w:r>
        <w:r w:rsidR="003464D0">
          <w:rPr>
            <w:webHidden/>
          </w:rPr>
          <w:t>27</w:t>
        </w:r>
        <w:r w:rsidR="003464D0">
          <w:rPr>
            <w:webHidden/>
          </w:rPr>
          <w:fldChar w:fldCharType="end"/>
        </w:r>
      </w:hyperlink>
    </w:p>
    <w:p w14:paraId="483854B7" w14:textId="4249709B" w:rsidR="003464D0" w:rsidRDefault="00B53CFF">
      <w:pPr>
        <w:pStyle w:val="TOC2"/>
        <w:rPr>
          <w:rFonts w:asciiTheme="minorHAnsi" w:eastAsiaTheme="minorEastAsia" w:hAnsiTheme="minorHAnsi" w:cstheme="minorBidi"/>
          <w:sz w:val="22"/>
          <w:szCs w:val="22"/>
          <w:lang w:eastAsia="en-AU"/>
        </w:rPr>
      </w:pPr>
      <w:hyperlink w:anchor="_Toc42621669" w:history="1">
        <w:r w:rsidR="003464D0" w:rsidRPr="002A2033">
          <w:rPr>
            <w:rStyle w:val="Hyperlink"/>
          </w:rPr>
          <w:t>Cost effectiveness</w:t>
        </w:r>
        <w:r w:rsidR="003464D0">
          <w:rPr>
            <w:webHidden/>
          </w:rPr>
          <w:tab/>
        </w:r>
        <w:r w:rsidR="003464D0">
          <w:rPr>
            <w:webHidden/>
          </w:rPr>
          <w:fldChar w:fldCharType="begin"/>
        </w:r>
        <w:r w:rsidR="003464D0">
          <w:rPr>
            <w:webHidden/>
          </w:rPr>
          <w:instrText xml:space="preserve"> PAGEREF _Toc42621669 \h </w:instrText>
        </w:r>
        <w:r w:rsidR="003464D0">
          <w:rPr>
            <w:webHidden/>
          </w:rPr>
        </w:r>
        <w:r w:rsidR="003464D0">
          <w:rPr>
            <w:webHidden/>
          </w:rPr>
          <w:fldChar w:fldCharType="separate"/>
        </w:r>
        <w:r w:rsidR="003464D0">
          <w:rPr>
            <w:webHidden/>
          </w:rPr>
          <w:t>27</w:t>
        </w:r>
        <w:r w:rsidR="003464D0">
          <w:rPr>
            <w:webHidden/>
          </w:rPr>
          <w:fldChar w:fldCharType="end"/>
        </w:r>
      </w:hyperlink>
    </w:p>
    <w:p w14:paraId="3416DEB3" w14:textId="39D9514B" w:rsidR="003464D0" w:rsidRDefault="00B53CFF">
      <w:pPr>
        <w:pStyle w:val="TOC2"/>
        <w:rPr>
          <w:rFonts w:asciiTheme="minorHAnsi" w:eastAsiaTheme="minorEastAsia" w:hAnsiTheme="minorHAnsi" w:cstheme="minorBidi"/>
          <w:sz w:val="22"/>
          <w:szCs w:val="22"/>
          <w:lang w:eastAsia="en-AU"/>
        </w:rPr>
      </w:pPr>
      <w:hyperlink w:anchor="_Toc42621670" w:history="1">
        <w:r w:rsidR="003464D0" w:rsidRPr="002A2033">
          <w:rPr>
            <w:rStyle w:val="Hyperlink"/>
          </w:rPr>
          <w:t>Competence and certification</w:t>
        </w:r>
        <w:r w:rsidR="003464D0">
          <w:rPr>
            <w:webHidden/>
          </w:rPr>
          <w:tab/>
        </w:r>
        <w:r w:rsidR="003464D0">
          <w:rPr>
            <w:webHidden/>
          </w:rPr>
          <w:fldChar w:fldCharType="begin"/>
        </w:r>
        <w:r w:rsidR="003464D0">
          <w:rPr>
            <w:webHidden/>
          </w:rPr>
          <w:instrText xml:space="preserve"> PAGEREF _Toc42621670 \h </w:instrText>
        </w:r>
        <w:r w:rsidR="003464D0">
          <w:rPr>
            <w:webHidden/>
          </w:rPr>
        </w:r>
        <w:r w:rsidR="003464D0">
          <w:rPr>
            <w:webHidden/>
          </w:rPr>
          <w:fldChar w:fldCharType="separate"/>
        </w:r>
        <w:r w:rsidR="003464D0">
          <w:rPr>
            <w:webHidden/>
          </w:rPr>
          <w:t>27</w:t>
        </w:r>
        <w:r w:rsidR="003464D0">
          <w:rPr>
            <w:webHidden/>
          </w:rPr>
          <w:fldChar w:fldCharType="end"/>
        </w:r>
      </w:hyperlink>
    </w:p>
    <w:p w14:paraId="6C6A5A48" w14:textId="5067B8A0" w:rsidR="003464D0" w:rsidRDefault="00B53CFF">
      <w:pPr>
        <w:pStyle w:val="TOC2"/>
        <w:rPr>
          <w:rFonts w:asciiTheme="minorHAnsi" w:eastAsiaTheme="minorEastAsia" w:hAnsiTheme="minorHAnsi" w:cstheme="minorBidi"/>
          <w:sz w:val="22"/>
          <w:szCs w:val="22"/>
          <w:lang w:eastAsia="en-AU"/>
        </w:rPr>
      </w:pPr>
      <w:hyperlink w:anchor="_Toc42621671" w:history="1">
        <w:r w:rsidR="003464D0" w:rsidRPr="002A2033">
          <w:rPr>
            <w:rStyle w:val="Hyperlink"/>
          </w:rPr>
          <w:t>Structural design</w:t>
        </w:r>
        <w:r w:rsidR="003464D0">
          <w:rPr>
            <w:webHidden/>
          </w:rPr>
          <w:tab/>
        </w:r>
        <w:r w:rsidR="003464D0">
          <w:rPr>
            <w:webHidden/>
          </w:rPr>
          <w:fldChar w:fldCharType="begin"/>
        </w:r>
        <w:r w:rsidR="003464D0">
          <w:rPr>
            <w:webHidden/>
          </w:rPr>
          <w:instrText xml:space="preserve"> PAGEREF _Toc42621671 \h </w:instrText>
        </w:r>
        <w:r w:rsidR="003464D0">
          <w:rPr>
            <w:webHidden/>
          </w:rPr>
        </w:r>
        <w:r w:rsidR="003464D0">
          <w:rPr>
            <w:webHidden/>
          </w:rPr>
          <w:fldChar w:fldCharType="separate"/>
        </w:r>
        <w:r w:rsidR="003464D0">
          <w:rPr>
            <w:webHidden/>
          </w:rPr>
          <w:t>27</w:t>
        </w:r>
        <w:r w:rsidR="003464D0">
          <w:rPr>
            <w:webHidden/>
          </w:rPr>
          <w:fldChar w:fldCharType="end"/>
        </w:r>
      </w:hyperlink>
    </w:p>
    <w:p w14:paraId="47167384" w14:textId="578EFF7E" w:rsidR="003464D0" w:rsidRDefault="00B53CFF">
      <w:pPr>
        <w:pStyle w:val="TOC2"/>
        <w:rPr>
          <w:rFonts w:asciiTheme="minorHAnsi" w:eastAsiaTheme="minorEastAsia" w:hAnsiTheme="minorHAnsi" w:cstheme="minorBidi"/>
          <w:sz w:val="22"/>
          <w:szCs w:val="22"/>
          <w:lang w:eastAsia="en-AU"/>
        </w:rPr>
      </w:pPr>
      <w:hyperlink w:anchor="_Toc42621672" w:history="1">
        <w:r w:rsidR="003464D0" w:rsidRPr="002A2033">
          <w:rPr>
            <w:rStyle w:val="Hyperlink"/>
          </w:rPr>
          <w:t>Structural documentation</w:t>
        </w:r>
        <w:r w:rsidR="003464D0">
          <w:rPr>
            <w:webHidden/>
          </w:rPr>
          <w:tab/>
        </w:r>
        <w:r w:rsidR="003464D0">
          <w:rPr>
            <w:webHidden/>
          </w:rPr>
          <w:fldChar w:fldCharType="begin"/>
        </w:r>
        <w:r w:rsidR="003464D0">
          <w:rPr>
            <w:webHidden/>
          </w:rPr>
          <w:instrText xml:space="preserve"> PAGEREF _Toc42621672 \h </w:instrText>
        </w:r>
        <w:r w:rsidR="003464D0">
          <w:rPr>
            <w:webHidden/>
          </w:rPr>
        </w:r>
        <w:r w:rsidR="003464D0">
          <w:rPr>
            <w:webHidden/>
          </w:rPr>
          <w:fldChar w:fldCharType="separate"/>
        </w:r>
        <w:r w:rsidR="003464D0">
          <w:rPr>
            <w:webHidden/>
          </w:rPr>
          <w:t>31</w:t>
        </w:r>
        <w:r w:rsidR="003464D0">
          <w:rPr>
            <w:webHidden/>
          </w:rPr>
          <w:fldChar w:fldCharType="end"/>
        </w:r>
      </w:hyperlink>
    </w:p>
    <w:p w14:paraId="435A766E" w14:textId="599DD08D" w:rsidR="003464D0" w:rsidRDefault="00B53CFF">
      <w:pPr>
        <w:pStyle w:val="TOC2"/>
        <w:rPr>
          <w:rFonts w:asciiTheme="minorHAnsi" w:eastAsiaTheme="minorEastAsia" w:hAnsiTheme="minorHAnsi" w:cstheme="minorBidi"/>
          <w:sz w:val="22"/>
          <w:szCs w:val="22"/>
          <w:lang w:eastAsia="en-AU"/>
        </w:rPr>
      </w:pPr>
      <w:hyperlink w:anchor="_Toc42621673" w:history="1">
        <w:r w:rsidR="003464D0" w:rsidRPr="002A2033">
          <w:rPr>
            <w:rStyle w:val="Hyperlink"/>
          </w:rPr>
          <w:t>Modifications and alterations to existing structures</w:t>
        </w:r>
        <w:r w:rsidR="003464D0">
          <w:rPr>
            <w:webHidden/>
          </w:rPr>
          <w:tab/>
        </w:r>
        <w:r w:rsidR="003464D0">
          <w:rPr>
            <w:webHidden/>
          </w:rPr>
          <w:fldChar w:fldCharType="begin"/>
        </w:r>
        <w:r w:rsidR="003464D0">
          <w:rPr>
            <w:webHidden/>
          </w:rPr>
          <w:instrText xml:space="preserve"> PAGEREF _Toc42621673 \h </w:instrText>
        </w:r>
        <w:r w:rsidR="003464D0">
          <w:rPr>
            <w:webHidden/>
          </w:rPr>
        </w:r>
        <w:r w:rsidR="003464D0">
          <w:rPr>
            <w:webHidden/>
          </w:rPr>
          <w:fldChar w:fldCharType="separate"/>
        </w:r>
        <w:r w:rsidR="003464D0">
          <w:rPr>
            <w:webHidden/>
          </w:rPr>
          <w:t>32</w:t>
        </w:r>
        <w:r w:rsidR="003464D0">
          <w:rPr>
            <w:webHidden/>
          </w:rPr>
          <w:fldChar w:fldCharType="end"/>
        </w:r>
      </w:hyperlink>
    </w:p>
    <w:p w14:paraId="007E2DE3" w14:textId="177390C7" w:rsidR="003464D0" w:rsidRDefault="00B53CFF">
      <w:pPr>
        <w:pStyle w:val="TOC2"/>
        <w:rPr>
          <w:rFonts w:asciiTheme="minorHAnsi" w:eastAsiaTheme="minorEastAsia" w:hAnsiTheme="minorHAnsi" w:cstheme="minorBidi"/>
          <w:sz w:val="22"/>
          <w:szCs w:val="22"/>
          <w:lang w:eastAsia="en-AU"/>
        </w:rPr>
      </w:pPr>
      <w:hyperlink w:anchor="_Toc42621674" w:history="1">
        <w:r w:rsidR="003464D0" w:rsidRPr="002A2033">
          <w:rPr>
            <w:rStyle w:val="Hyperlink"/>
          </w:rPr>
          <w:t>Site and civil works</w:t>
        </w:r>
        <w:r w:rsidR="003464D0">
          <w:rPr>
            <w:webHidden/>
          </w:rPr>
          <w:tab/>
        </w:r>
        <w:r w:rsidR="003464D0">
          <w:rPr>
            <w:webHidden/>
          </w:rPr>
          <w:fldChar w:fldCharType="begin"/>
        </w:r>
        <w:r w:rsidR="003464D0">
          <w:rPr>
            <w:webHidden/>
          </w:rPr>
          <w:instrText xml:space="preserve"> PAGEREF _Toc42621674 \h </w:instrText>
        </w:r>
        <w:r w:rsidR="003464D0">
          <w:rPr>
            <w:webHidden/>
          </w:rPr>
        </w:r>
        <w:r w:rsidR="003464D0">
          <w:rPr>
            <w:webHidden/>
          </w:rPr>
          <w:fldChar w:fldCharType="separate"/>
        </w:r>
        <w:r w:rsidR="003464D0">
          <w:rPr>
            <w:webHidden/>
          </w:rPr>
          <w:t>32</w:t>
        </w:r>
        <w:r w:rsidR="003464D0">
          <w:rPr>
            <w:webHidden/>
          </w:rPr>
          <w:fldChar w:fldCharType="end"/>
        </w:r>
      </w:hyperlink>
    </w:p>
    <w:p w14:paraId="3079A713" w14:textId="7C870B65" w:rsidR="003E2E12" w:rsidRPr="003072C6" w:rsidRDefault="00E15DA9" w:rsidP="00213772">
      <w:pPr>
        <w:pStyle w:val="TOC2"/>
        <w:rPr>
          <w:noProof w:val="0"/>
        </w:rPr>
      </w:pPr>
      <w:r w:rsidRPr="003072C6">
        <w:rPr>
          <w:noProof w:val="0"/>
        </w:rPr>
        <w:fldChar w:fldCharType="end"/>
      </w:r>
    </w:p>
    <w:p w14:paraId="460B5E44" w14:textId="77777777" w:rsidR="00AC0C3B" w:rsidRPr="00256E7C" w:rsidRDefault="003E2E12" w:rsidP="00256E7C">
      <w:pPr>
        <w:pStyle w:val="DHHSbody"/>
      </w:pPr>
      <w:r w:rsidRPr="00256E7C">
        <w:br w:type="page"/>
      </w:r>
    </w:p>
    <w:p w14:paraId="3D2C32CA" w14:textId="77777777" w:rsidR="00256E7C" w:rsidRPr="003072C6" w:rsidRDefault="00256E7C" w:rsidP="00E91933">
      <w:pPr>
        <w:pStyle w:val="DHHSbody"/>
      </w:pPr>
    </w:p>
    <w:p w14:paraId="63A55249"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5852B1BB" w14:textId="25DC631A" w:rsidR="00E30414" w:rsidRPr="00AB50C1" w:rsidRDefault="00A72102" w:rsidP="00A72102">
      <w:pPr>
        <w:pStyle w:val="Heading1"/>
      </w:pPr>
      <w:bookmarkStart w:id="1" w:name="_Toc42621627"/>
      <w:r>
        <w:lastRenderedPageBreak/>
        <w:t>Introduction</w:t>
      </w:r>
      <w:bookmarkEnd w:id="1"/>
    </w:p>
    <w:p w14:paraId="39EBCCA7" w14:textId="2937EFE1" w:rsidR="00B34136" w:rsidRPr="00197109" w:rsidRDefault="00B34136" w:rsidP="00B34136">
      <w:pPr>
        <w:pStyle w:val="DHHSbody"/>
      </w:pPr>
      <w:r w:rsidRPr="00197109">
        <w:t xml:space="preserve">The purpose of engineering systems in </w:t>
      </w:r>
      <w:r w:rsidR="00956BCD" w:rsidRPr="00197109">
        <w:t xml:space="preserve">healthcare </w:t>
      </w:r>
      <w:r w:rsidRPr="00197109">
        <w:t>projects is to satisfy internal environmental conditions for infection control, comfort, and safety.</w:t>
      </w:r>
    </w:p>
    <w:p w14:paraId="261701E7" w14:textId="24DEA07E" w:rsidR="00B34136" w:rsidRPr="00197109" w:rsidRDefault="00B34136" w:rsidP="00B34136">
      <w:pPr>
        <w:pStyle w:val="DHHSbody"/>
      </w:pPr>
      <w:bookmarkStart w:id="2" w:name="_Hlk17622450"/>
      <w:r w:rsidRPr="00197109">
        <w:t xml:space="preserve">These Engineering </w:t>
      </w:r>
      <w:r w:rsidR="00956BCD" w:rsidRPr="00197109">
        <w:t xml:space="preserve">guidelines </w:t>
      </w:r>
      <w:r w:rsidRPr="00197109">
        <w:t xml:space="preserve">are a guide for the development of design and specification documentation for healthcare facilities. For </w:t>
      </w:r>
      <w:r w:rsidR="00956BCD">
        <w:t xml:space="preserve">a </w:t>
      </w:r>
      <w:r w:rsidRPr="00197109">
        <w:t>glossary of terms and common abbreviations used in the guide refer to Volume 1.</w:t>
      </w:r>
    </w:p>
    <w:p w14:paraId="5BB0CF96" w14:textId="77777777" w:rsidR="00B34136" w:rsidRPr="00197109" w:rsidRDefault="00B34136" w:rsidP="00B34136">
      <w:pPr>
        <w:pStyle w:val="DHHSbody"/>
      </w:pPr>
      <w:r w:rsidRPr="00197109">
        <w:t xml:space="preserve">A key objective for delivery of healthcare facility projects is the provision of facilities that provide for: </w:t>
      </w:r>
    </w:p>
    <w:p w14:paraId="29189113" w14:textId="0BBFC7FC" w:rsidR="00B34136" w:rsidRPr="00197109" w:rsidRDefault="00956BCD" w:rsidP="00497C6B">
      <w:pPr>
        <w:pStyle w:val="DHHSbullet1indent"/>
      </w:pPr>
      <w:r w:rsidRPr="00197109">
        <w:t xml:space="preserve">achievement of optimal patient care </w:t>
      </w:r>
      <w:r>
        <w:t>using</w:t>
      </w:r>
      <w:r w:rsidRPr="00197109">
        <w:t xml:space="preserve"> a model of care for the patient </w:t>
      </w:r>
    </w:p>
    <w:p w14:paraId="2E8248BD" w14:textId="59953560" w:rsidR="00B34136" w:rsidRPr="00197109" w:rsidRDefault="00956BCD" w:rsidP="00497C6B">
      <w:pPr>
        <w:pStyle w:val="DHHSbullet1indent"/>
      </w:pPr>
      <w:r w:rsidRPr="00197109">
        <w:t xml:space="preserve">contemporary approaches to design </w:t>
      </w:r>
    </w:p>
    <w:p w14:paraId="572D5566" w14:textId="5767C997" w:rsidR="00B34136" w:rsidRPr="00197109" w:rsidRDefault="00956BCD" w:rsidP="00497C6B">
      <w:pPr>
        <w:pStyle w:val="DHHSbullet1indent"/>
      </w:pPr>
      <w:r w:rsidRPr="00197109">
        <w:t>practical and easy usage</w:t>
      </w:r>
      <w:r w:rsidR="00785D6D">
        <w:t xml:space="preserve"> </w:t>
      </w:r>
    </w:p>
    <w:p w14:paraId="013202A0" w14:textId="2C2B4218" w:rsidR="00B34136" w:rsidRPr="00197109" w:rsidRDefault="00956BCD" w:rsidP="00497C6B">
      <w:pPr>
        <w:pStyle w:val="DHHSbullet1indent"/>
      </w:pPr>
      <w:r w:rsidRPr="00197109">
        <w:t xml:space="preserve">fitness for purpose </w:t>
      </w:r>
    </w:p>
    <w:p w14:paraId="769B5C0F" w14:textId="3931E43B" w:rsidR="00B34136" w:rsidRPr="00197109" w:rsidRDefault="00956BCD" w:rsidP="00497C6B">
      <w:pPr>
        <w:pStyle w:val="DHHSbullet1indent"/>
      </w:pPr>
      <w:r w:rsidRPr="00197109">
        <w:t>value for money</w:t>
      </w:r>
    </w:p>
    <w:p w14:paraId="4127A489" w14:textId="43AD84CA" w:rsidR="00B34136" w:rsidRPr="00197109" w:rsidRDefault="00B34136" w:rsidP="00B34136">
      <w:pPr>
        <w:pStyle w:val="DHHSbodyafterbullets"/>
      </w:pPr>
      <w:r w:rsidRPr="00197109">
        <w:t xml:space="preserve">It is expected that all projects will be delivered in </w:t>
      </w:r>
      <w:r w:rsidR="00956BCD">
        <w:t>line</w:t>
      </w:r>
      <w:r w:rsidRPr="00197109">
        <w:t xml:space="preserve"> with the requirements of all relevant codes and regulations, and all designers are be aware of these obligations. </w:t>
      </w:r>
    </w:p>
    <w:p w14:paraId="28DFEF2B" w14:textId="1AD65A33" w:rsidR="00B34136" w:rsidRPr="00197109" w:rsidRDefault="00B34136" w:rsidP="00B34136">
      <w:pPr>
        <w:pStyle w:val="DHHSbody"/>
      </w:pPr>
      <w:r w:rsidRPr="00197109">
        <w:t xml:space="preserve">Any engineered deviations from relevant </w:t>
      </w:r>
      <w:r w:rsidR="00956BCD" w:rsidRPr="00197109">
        <w:t xml:space="preserve">statutory </w:t>
      </w:r>
      <w:r w:rsidRPr="00197109">
        <w:t xml:space="preserve">requirements and other </w:t>
      </w:r>
      <w:r w:rsidR="00956BCD" w:rsidRPr="00197109">
        <w:t xml:space="preserve">standards </w:t>
      </w:r>
      <w:r w:rsidRPr="00197109">
        <w:t xml:space="preserve">due to unique project circumstances need to be thoroughly and holistically assessed, proved, clearly articulated </w:t>
      </w:r>
      <w:r w:rsidR="00956BCD">
        <w:t>or</w:t>
      </w:r>
      <w:r w:rsidR="00956BCD" w:rsidRPr="00197109">
        <w:t xml:space="preserve"> </w:t>
      </w:r>
      <w:r w:rsidRPr="00197109">
        <w:t>documented</w:t>
      </w:r>
      <w:r w:rsidR="00956BCD">
        <w:t>,</w:t>
      </w:r>
      <w:r w:rsidRPr="00197109">
        <w:t xml:space="preserve"> and signed off by the relevant </w:t>
      </w:r>
      <w:r w:rsidR="00956BCD" w:rsidRPr="00197109">
        <w:t>authority</w:t>
      </w:r>
      <w:r w:rsidRPr="00197109">
        <w:t xml:space="preserve">. </w:t>
      </w:r>
    </w:p>
    <w:p w14:paraId="31E6FE78" w14:textId="1E122308" w:rsidR="00B34136" w:rsidRPr="00197109" w:rsidRDefault="00B34136" w:rsidP="00B34136">
      <w:pPr>
        <w:pStyle w:val="DHHSbody"/>
      </w:pPr>
      <w:r w:rsidRPr="00197109">
        <w:t xml:space="preserve">All designers will assess the provisions of </w:t>
      </w:r>
      <w:r w:rsidR="00956BCD" w:rsidRPr="00197109">
        <w:t>standards</w:t>
      </w:r>
      <w:r w:rsidR="00956BCD">
        <w:t>,</w:t>
      </w:r>
      <w:r w:rsidR="00956BCD" w:rsidRPr="00197109">
        <w:t xml:space="preserve"> </w:t>
      </w:r>
      <w:r w:rsidRPr="00197109">
        <w:t xml:space="preserve">such as the </w:t>
      </w:r>
      <w:r w:rsidRPr="004657F7">
        <w:rPr>
          <w:i/>
          <w:iCs/>
        </w:rPr>
        <w:t>Austral</w:t>
      </w:r>
      <w:r w:rsidR="00D13D48">
        <w:rPr>
          <w:i/>
          <w:iCs/>
        </w:rPr>
        <w:t>asia</w:t>
      </w:r>
      <w:r w:rsidRPr="004657F7">
        <w:rPr>
          <w:i/>
          <w:iCs/>
        </w:rPr>
        <w:t xml:space="preserve">n </w:t>
      </w:r>
      <w:r w:rsidR="00956BCD" w:rsidRPr="004657F7">
        <w:rPr>
          <w:i/>
          <w:iCs/>
        </w:rPr>
        <w:t>health facility guidelines</w:t>
      </w:r>
      <w:r w:rsidR="00956BCD" w:rsidRPr="00197109">
        <w:t xml:space="preserve"> </w:t>
      </w:r>
      <w:r w:rsidRPr="00197109">
        <w:t>(</w:t>
      </w:r>
      <w:proofErr w:type="spellStart"/>
      <w:r w:rsidRPr="00197109">
        <w:t>AusHFGs</w:t>
      </w:r>
      <w:proofErr w:type="spellEnd"/>
      <w:r w:rsidRPr="00197109">
        <w:t>)</w:t>
      </w:r>
      <w:r w:rsidR="00956BCD">
        <w:t>,</w:t>
      </w:r>
      <w:r w:rsidRPr="00197109">
        <w:t xml:space="preserve"> and determine an appropriate application of these to their project. In new, major hospital developments it is envisaged the requirements of </w:t>
      </w:r>
      <w:proofErr w:type="spellStart"/>
      <w:r w:rsidRPr="00197109">
        <w:t>AusHFG</w:t>
      </w:r>
      <w:r w:rsidR="00956BCD">
        <w:t>s</w:t>
      </w:r>
      <w:proofErr w:type="spellEnd"/>
      <w:r w:rsidRPr="00197109">
        <w:t xml:space="preserve"> and these guidelines will be closely adhered to, except where deviations are associated with new models of care, operational policies or procedures or innovative approaches to the delivery of health services. </w:t>
      </w:r>
    </w:p>
    <w:p w14:paraId="05BCFDC4" w14:textId="152E1453" w:rsidR="00B34136" w:rsidRPr="00197109" w:rsidRDefault="00B34136" w:rsidP="00B34136">
      <w:pPr>
        <w:pStyle w:val="DHHSbody"/>
      </w:pPr>
      <w:r w:rsidRPr="00197109">
        <w:t xml:space="preserve">On smaller projects and projects where substantial refurbishment is envisaged, designers will critically evaluate the </w:t>
      </w:r>
      <w:proofErr w:type="spellStart"/>
      <w:r w:rsidRPr="00197109">
        <w:t>AusHFG</w:t>
      </w:r>
      <w:r w:rsidR="00956BCD">
        <w:t>s</w:t>
      </w:r>
      <w:proofErr w:type="spellEnd"/>
      <w:r w:rsidRPr="00197109">
        <w:t xml:space="preserve"> to determine their applicability and suitability to the project during planning, and deviations will be clearly articulated </w:t>
      </w:r>
      <w:r w:rsidR="00956BCD">
        <w:t>or</w:t>
      </w:r>
      <w:r w:rsidRPr="00197109">
        <w:t xml:space="preserve"> documented</w:t>
      </w:r>
      <w:r w:rsidR="00956BCD">
        <w:t>,</w:t>
      </w:r>
      <w:r w:rsidRPr="00197109">
        <w:t xml:space="preserve"> and signed off by the relevant </w:t>
      </w:r>
      <w:r w:rsidR="00956BCD" w:rsidRPr="00197109">
        <w:t>authority</w:t>
      </w:r>
      <w:r w:rsidRPr="00197109">
        <w:t>.</w:t>
      </w:r>
    </w:p>
    <w:p w14:paraId="3E5FF636" w14:textId="23CE7B69" w:rsidR="00B34136" w:rsidRPr="00197109" w:rsidRDefault="00B34136" w:rsidP="00B34136">
      <w:pPr>
        <w:pStyle w:val="DHHSbody"/>
      </w:pPr>
      <w:r w:rsidRPr="00197109">
        <w:t xml:space="preserve">Volume 6 – </w:t>
      </w:r>
      <w:r>
        <w:t xml:space="preserve">Specialist </w:t>
      </w:r>
      <w:r w:rsidR="00956BCD">
        <w:t xml:space="preserve">healthcare engineering and provisions </w:t>
      </w:r>
      <w:r w:rsidRPr="00197109">
        <w:t xml:space="preserve">forms part of a suite of documents in the </w:t>
      </w:r>
      <w:r w:rsidR="00956BCD" w:rsidRPr="00041640">
        <w:rPr>
          <w:i/>
          <w:iCs/>
        </w:rPr>
        <w:t>Engineering guidelines for healthcare facilities</w:t>
      </w:r>
      <w:r w:rsidRPr="00197109">
        <w:t>. The documents in this series are:</w:t>
      </w:r>
    </w:p>
    <w:p w14:paraId="02753D54" w14:textId="77777777" w:rsidR="00B34136" w:rsidRPr="00197109" w:rsidRDefault="00B34136" w:rsidP="004657F7">
      <w:pPr>
        <w:pStyle w:val="DHHSbullet1indent"/>
      </w:pPr>
      <w:r w:rsidRPr="00197109">
        <w:t>Volume 1 – Fundamentals</w:t>
      </w:r>
    </w:p>
    <w:p w14:paraId="66BE6C78" w14:textId="3FD55369" w:rsidR="00B34136" w:rsidRPr="00197109" w:rsidRDefault="00B34136" w:rsidP="004657F7">
      <w:pPr>
        <w:pStyle w:val="DHHSbullet1indent"/>
      </w:pPr>
      <w:r w:rsidRPr="00197109">
        <w:t xml:space="preserve">Volume 2 – Electrical and </w:t>
      </w:r>
      <w:r w:rsidR="00956BCD" w:rsidRPr="00197109">
        <w:t>lighting</w:t>
      </w:r>
    </w:p>
    <w:p w14:paraId="32543733" w14:textId="6EDC142A" w:rsidR="00B34136" w:rsidRPr="00197109" w:rsidRDefault="00B34136" w:rsidP="004657F7">
      <w:pPr>
        <w:pStyle w:val="DHHSbullet1indent"/>
      </w:pPr>
      <w:r w:rsidRPr="00197109">
        <w:t xml:space="preserve">Volume 3 – Data, </w:t>
      </w:r>
      <w:r w:rsidR="00956BCD" w:rsidRPr="00197109">
        <w:t>comms and security</w:t>
      </w:r>
    </w:p>
    <w:p w14:paraId="63D676D1" w14:textId="2C904A80" w:rsidR="00B34136" w:rsidRPr="00197109" w:rsidRDefault="00B34136" w:rsidP="004657F7">
      <w:pPr>
        <w:pStyle w:val="DHHSbullet1indent"/>
      </w:pPr>
      <w:r w:rsidRPr="00197109">
        <w:t>Volume 4 - Heating</w:t>
      </w:r>
      <w:r w:rsidR="00956BCD" w:rsidRPr="00197109">
        <w:t>, ventilation and air-conditioning</w:t>
      </w:r>
    </w:p>
    <w:p w14:paraId="35992138" w14:textId="4D580D09" w:rsidR="00B34136" w:rsidRPr="00197109" w:rsidRDefault="00B34136" w:rsidP="004657F7">
      <w:pPr>
        <w:pStyle w:val="DHHSbullet1indent"/>
      </w:pPr>
      <w:r w:rsidRPr="00197109">
        <w:t xml:space="preserve">Volume 5 – Fire and </w:t>
      </w:r>
      <w:r w:rsidR="00956BCD" w:rsidRPr="00197109">
        <w:t>hydraulics</w:t>
      </w:r>
    </w:p>
    <w:p w14:paraId="4E9C2D65" w14:textId="2CBC5A47" w:rsidR="00B34136" w:rsidRDefault="00B34136" w:rsidP="004657F7">
      <w:pPr>
        <w:pStyle w:val="DHHSbullet1indent"/>
      </w:pPr>
      <w:r w:rsidRPr="00197109">
        <w:t>Volume 6 –</w:t>
      </w:r>
      <w:bookmarkStart w:id="3" w:name="_Hlk29388978"/>
      <w:r w:rsidR="0053705F">
        <w:t xml:space="preserve"> </w:t>
      </w:r>
      <w:r>
        <w:t>Specialist</w:t>
      </w:r>
      <w:r w:rsidR="00956BCD">
        <w:t xml:space="preserve"> healthcare engineering and pr</w:t>
      </w:r>
      <w:r>
        <w:t xml:space="preserve">ovisions </w:t>
      </w:r>
      <w:bookmarkEnd w:id="2"/>
      <w:bookmarkEnd w:id="3"/>
    </w:p>
    <w:p w14:paraId="5886638A" w14:textId="495E0F8B" w:rsidR="00B34136" w:rsidRPr="002A1017" w:rsidRDefault="00B34136" w:rsidP="004657F7">
      <w:pPr>
        <w:pStyle w:val="DHHSbullet1indent"/>
        <w:rPr>
          <w:rStyle w:val="EndnoteReference"/>
          <w:vertAlign w:val="baseline"/>
        </w:rPr>
      </w:pPr>
      <w:r w:rsidRPr="002A1017">
        <w:rPr>
          <w:rStyle w:val="EndnoteReference"/>
          <w:vertAlign w:val="baseline"/>
        </w:rPr>
        <w:t xml:space="preserve">Reference table 1 – Design </w:t>
      </w:r>
      <w:r w:rsidR="00956BCD" w:rsidRPr="002A1017">
        <w:rPr>
          <w:rStyle w:val="EndnoteReference"/>
          <w:vertAlign w:val="baseline"/>
        </w:rPr>
        <w:t>parameters</w:t>
      </w:r>
    </w:p>
    <w:p w14:paraId="36A59BE5" w14:textId="1A06C98F" w:rsidR="00B34136" w:rsidRPr="002A1017" w:rsidRDefault="00B34136" w:rsidP="004657F7">
      <w:pPr>
        <w:pStyle w:val="DHHSbullet1indent"/>
        <w:rPr>
          <w:rStyle w:val="EndnoteReference"/>
          <w:vertAlign w:val="baseline"/>
        </w:rPr>
      </w:pPr>
      <w:r w:rsidRPr="002A1017">
        <w:rPr>
          <w:rStyle w:val="EndnoteReference"/>
          <w:vertAlign w:val="baseline"/>
        </w:rPr>
        <w:t xml:space="preserve">Reference table 2 </w:t>
      </w:r>
      <w:r w:rsidR="0053705F">
        <w:t>–</w:t>
      </w:r>
      <w:r w:rsidRPr="002A1017">
        <w:rPr>
          <w:rStyle w:val="EndnoteReference"/>
          <w:vertAlign w:val="baseline"/>
        </w:rPr>
        <w:t xml:space="preserve"> Acoustic </w:t>
      </w:r>
      <w:r w:rsidR="00956BCD" w:rsidRPr="002A1017">
        <w:rPr>
          <w:rStyle w:val="EndnoteReference"/>
          <w:vertAlign w:val="baseline"/>
        </w:rPr>
        <w:t>design parameters</w:t>
      </w:r>
    </w:p>
    <w:p w14:paraId="0A5A7636" w14:textId="116F205C" w:rsidR="00B34136" w:rsidRDefault="00B34136" w:rsidP="004657F7">
      <w:pPr>
        <w:pStyle w:val="DHHSbullet1indent"/>
      </w:pPr>
      <w:r w:rsidRPr="002A1017">
        <w:rPr>
          <w:rStyle w:val="EndnoteReference"/>
          <w:vertAlign w:val="baseline"/>
        </w:rPr>
        <w:t xml:space="preserve">Reference table 3 </w:t>
      </w:r>
      <w:r w:rsidR="0053705F">
        <w:t>–</w:t>
      </w:r>
      <w:r w:rsidRPr="002A1017">
        <w:rPr>
          <w:rStyle w:val="EndnoteReference"/>
          <w:vertAlign w:val="baseline"/>
        </w:rPr>
        <w:t xml:space="preserve"> Required </w:t>
      </w:r>
      <w:r w:rsidR="00956BCD" w:rsidRPr="002A1017">
        <w:rPr>
          <w:rStyle w:val="EndnoteReference"/>
          <w:vertAlign w:val="baseline"/>
        </w:rPr>
        <w:t>noise reductions for room adjacencies</w:t>
      </w:r>
    </w:p>
    <w:p w14:paraId="598104E7" w14:textId="77777777" w:rsidR="00B34136" w:rsidRDefault="00B34136">
      <w:pPr>
        <w:rPr>
          <w:rFonts w:ascii="Arial" w:eastAsia="Times" w:hAnsi="Arial"/>
        </w:rPr>
      </w:pPr>
      <w:r>
        <w:br w:type="page"/>
      </w:r>
    </w:p>
    <w:p w14:paraId="58D23301" w14:textId="5EC1B5FC" w:rsidR="00B34136" w:rsidRDefault="00B34136" w:rsidP="00B34136">
      <w:pPr>
        <w:pStyle w:val="Heading1"/>
      </w:pPr>
      <w:bookmarkStart w:id="4" w:name="_Toc42621628"/>
      <w:r>
        <w:lastRenderedPageBreak/>
        <w:t>Medical gases</w:t>
      </w:r>
      <w:bookmarkEnd w:id="4"/>
    </w:p>
    <w:p w14:paraId="486F7311" w14:textId="22C6146D" w:rsidR="00B34136" w:rsidRPr="00B34136" w:rsidRDefault="00B34136" w:rsidP="00B34136">
      <w:pPr>
        <w:pStyle w:val="Heading2"/>
      </w:pPr>
      <w:bookmarkStart w:id="5" w:name="_Toc42621629"/>
      <w:r>
        <w:t>Introduction</w:t>
      </w:r>
      <w:bookmarkEnd w:id="5"/>
    </w:p>
    <w:p w14:paraId="6FFD6A6F" w14:textId="7D9A5EBB" w:rsidR="00B34136" w:rsidRPr="006950BC" w:rsidRDefault="00B34136">
      <w:pPr>
        <w:pStyle w:val="DHHSbodynumbered"/>
      </w:pPr>
      <w:r w:rsidRPr="006950BC">
        <w:t xml:space="preserve">The minimum requirements for the provision of medical gas systems in </w:t>
      </w:r>
      <w:r w:rsidR="0053705F" w:rsidRPr="006950BC">
        <w:t xml:space="preserve">healthcare facilities </w:t>
      </w:r>
      <w:r w:rsidRPr="006950BC">
        <w:t>will be:</w:t>
      </w:r>
    </w:p>
    <w:p w14:paraId="67E9049B" w14:textId="400FC34E" w:rsidR="00B34136" w:rsidRPr="00197109" w:rsidRDefault="00B34136" w:rsidP="00497C6B">
      <w:pPr>
        <w:pStyle w:val="DHHSbullet1indent"/>
      </w:pPr>
      <w:r w:rsidRPr="00197109">
        <w:t xml:space="preserve">AS 2473 Valves for compressed gas cylinders </w:t>
      </w:r>
      <w:r w:rsidR="00994035">
        <w:t>–</w:t>
      </w:r>
      <w:r w:rsidR="00994035" w:rsidRPr="00197109">
        <w:t xml:space="preserve"> </w:t>
      </w:r>
      <w:r w:rsidRPr="00197109">
        <w:t>Outlet connections for medical gases (including pin-indexed yoke connections)</w:t>
      </w:r>
    </w:p>
    <w:p w14:paraId="716297E1" w14:textId="0438485E" w:rsidR="00B34136" w:rsidRPr="00197109" w:rsidRDefault="00B34136" w:rsidP="00497C6B">
      <w:pPr>
        <w:pStyle w:val="DHHSbullet1indent"/>
      </w:pPr>
      <w:r w:rsidRPr="00197109">
        <w:t xml:space="preserve">AS 2568 Medical gases </w:t>
      </w:r>
      <w:r w:rsidR="00994035">
        <w:t>–</w:t>
      </w:r>
      <w:r w:rsidR="00994035" w:rsidRPr="00197109">
        <w:t xml:space="preserve"> </w:t>
      </w:r>
      <w:r w:rsidRPr="00197109">
        <w:t>Purity of compressed medical breathing air</w:t>
      </w:r>
    </w:p>
    <w:p w14:paraId="6E699051" w14:textId="0D7F08B9" w:rsidR="00B34136" w:rsidRPr="00197109" w:rsidRDefault="00B34136" w:rsidP="00497C6B">
      <w:pPr>
        <w:pStyle w:val="DHHSbullet1indent"/>
      </w:pPr>
      <w:r w:rsidRPr="00197109">
        <w:t xml:space="preserve">AS 2896 Medical gas systems </w:t>
      </w:r>
      <w:r w:rsidR="00994035">
        <w:t>–</w:t>
      </w:r>
      <w:r w:rsidR="00994035" w:rsidRPr="00197109">
        <w:t xml:space="preserve"> </w:t>
      </w:r>
      <w:r w:rsidRPr="00197109">
        <w:t>Installation and testing of non-flammable medical gases pipeline systems</w:t>
      </w:r>
    </w:p>
    <w:p w14:paraId="62D25DBF" w14:textId="54411B33" w:rsidR="00B34136" w:rsidRPr="00197109" w:rsidRDefault="00B34136" w:rsidP="00497C6B">
      <w:pPr>
        <w:pStyle w:val="DHHSbullet1indent"/>
      </w:pPr>
      <w:r w:rsidRPr="00197109">
        <w:t xml:space="preserve">AS 2902 Medical gas systems </w:t>
      </w:r>
      <w:r w:rsidR="00994035">
        <w:t>–</w:t>
      </w:r>
      <w:r w:rsidR="00994035" w:rsidRPr="00197109">
        <w:t xml:space="preserve"> </w:t>
      </w:r>
      <w:r w:rsidRPr="00197109">
        <w:t>Low pressure flexible hose assemblies</w:t>
      </w:r>
    </w:p>
    <w:p w14:paraId="3B635F00" w14:textId="5B3F2A72" w:rsidR="00B34136" w:rsidRPr="00197109" w:rsidRDefault="00B34136" w:rsidP="00497C6B">
      <w:pPr>
        <w:pStyle w:val="DHHSbullet1indent"/>
      </w:pPr>
      <w:r w:rsidRPr="00197109">
        <w:t xml:space="preserve">AS 3840 Pressure regulators for use with medical gases </w:t>
      </w:r>
      <w:r w:rsidR="00994035">
        <w:t>–</w:t>
      </w:r>
      <w:r w:rsidR="00994035" w:rsidRPr="00197109">
        <w:t xml:space="preserve"> </w:t>
      </w:r>
      <w:r w:rsidRPr="00197109">
        <w:t>Pressure regulators and pressure regulators with flow-metering devices</w:t>
      </w:r>
    </w:p>
    <w:p w14:paraId="6E404B14" w14:textId="38D6BDFA" w:rsidR="00B34136" w:rsidRPr="00197109" w:rsidRDefault="00B34136" w:rsidP="00497C6B">
      <w:pPr>
        <w:pStyle w:val="DHHSbullet1indent"/>
      </w:pPr>
      <w:r w:rsidRPr="00197109">
        <w:t xml:space="preserve">AS 4484 Gas cylinders for industrial, scientific, medical and refrigerant use </w:t>
      </w:r>
      <w:r w:rsidR="00994035">
        <w:t>–</w:t>
      </w:r>
      <w:r w:rsidR="00994035" w:rsidRPr="00197109">
        <w:t xml:space="preserve"> </w:t>
      </w:r>
      <w:r w:rsidRPr="00197109">
        <w:t>Labelling and colour coding</w:t>
      </w:r>
    </w:p>
    <w:p w14:paraId="338D346E" w14:textId="6A72D546" w:rsidR="00B34136" w:rsidRDefault="00B34136">
      <w:pPr>
        <w:pStyle w:val="DHHSbodynumbered"/>
      </w:pPr>
      <w:r w:rsidRPr="00197109">
        <w:t xml:space="preserve">All clauses outlined in the following section </w:t>
      </w:r>
      <w:r w:rsidR="00994035">
        <w:t>are</w:t>
      </w:r>
      <w:r w:rsidRPr="00197109">
        <w:t xml:space="preserve"> in addition to statutory requirements</w:t>
      </w:r>
      <w:r>
        <w:t>.</w:t>
      </w:r>
    </w:p>
    <w:p w14:paraId="4B2124AB" w14:textId="77777777" w:rsidR="00B34136" w:rsidRPr="0030655E" w:rsidRDefault="00B34136" w:rsidP="004657F7">
      <w:pPr>
        <w:pStyle w:val="Heading2"/>
      </w:pPr>
      <w:bookmarkStart w:id="6" w:name="_Toc22890835"/>
      <w:bookmarkStart w:id="7" w:name="_Toc29400797"/>
      <w:bookmarkStart w:id="8" w:name="_Toc42621630"/>
      <w:r w:rsidRPr="0030655E">
        <w:t>Scope</w:t>
      </w:r>
      <w:bookmarkEnd w:id="6"/>
      <w:bookmarkEnd w:id="7"/>
      <w:bookmarkEnd w:id="8"/>
    </w:p>
    <w:p w14:paraId="5188A39D" w14:textId="77777777" w:rsidR="00B34136" w:rsidRPr="0030655E" w:rsidRDefault="00B34136">
      <w:pPr>
        <w:pStyle w:val="DHHSbodynumbered"/>
      </w:pPr>
      <w:r w:rsidRPr="0030655E">
        <w:t>Medical gas systems include the following services:</w:t>
      </w:r>
    </w:p>
    <w:p w14:paraId="01F9A2AB" w14:textId="2F98024C" w:rsidR="00B34136" w:rsidRPr="0030655E" w:rsidRDefault="0053705F" w:rsidP="00497C6B">
      <w:pPr>
        <w:pStyle w:val="DHHSbullet1indent"/>
      </w:pPr>
      <w:r w:rsidRPr="0030655E">
        <w:t>oxygen</w:t>
      </w:r>
    </w:p>
    <w:p w14:paraId="60E22B6C" w14:textId="34EF82B0" w:rsidR="00B34136" w:rsidRPr="0030655E" w:rsidRDefault="0053705F" w:rsidP="00497C6B">
      <w:pPr>
        <w:pStyle w:val="DHHSbullet1indent"/>
      </w:pPr>
      <w:r w:rsidRPr="0030655E">
        <w:t>nitrous oxide</w:t>
      </w:r>
    </w:p>
    <w:p w14:paraId="5FA8BC01" w14:textId="27FF17F9" w:rsidR="00B34136" w:rsidRPr="0030655E" w:rsidRDefault="0053705F" w:rsidP="00497C6B">
      <w:pPr>
        <w:pStyle w:val="DHHSbullet1indent"/>
      </w:pPr>
      <w:r w:rsidRPr="0030655E">
        <w:t>medical breathing air</w:t>
      </w:r>
    </w:p>
    <w:p w14:paraId="6741672D" w14:textId="4F33EFEC" w:rsidR="00B34136" w:rsidRPr="0030655E" w:rsidRDefault="0053705F" w:rsidP="00497C6B">
      <w:pPr>
        <w:pStyle w:val="DHHSbullet1indent"/>
      </w:pPr>
      <w:r w:rsidRPr="0030655E">
        <w:t>surgical tool gas</w:t>
      </w:r>
    </w:p>
    <w:p w14:paraId="53200A01" w14:textId="7F5D632D" w:rsidR="00B34136" w:rsidRPr="0030655E" w:rsidRDefault="0053705F" w:rsidP="00497C6B">
      <w:pPr>
        <w:pStyle w:val="DHHSbullet1indent"/>
      </w:pPr>
      <w:r w:rsidRPr="0030655E">
        <w:t>medical gases mixtures</w:t>
      </w:r>
    </w:p>
    <w:p w14:paraId="0F2CAE58" w14:textId="41210024" w:rsidR="00B34136" w:rsidRPr="0030655E" w:rsidRDefault="0053705F" w:rsidP="00497C6B">
      <w:pPr>
        <w:pStyle w:val="DHHSbullet1indent"/>
      </w:pPr>
      <w:r w:rsidRPr="0030655E">
        <w:t>carbon dioxide</w:t>
      </w:r>
    </w:p>
    <w:p w14:paraId="4029219D" w14:textId="3CD50791" w:rsidR="00B34136" w:rsidRPr="0030655E" w:rsidRDefault="0053705F">
      <w:pPr>
        <w:pStyle w:val="DHHSbullet1indent"/>
      </w:pPr>
      <w:r w:rsidRPr="0030655E">
        <w:t>medical suction</w:t>
      </w:r>
      <w:r>
        <w:t xml:space="preserve"> – m</w:t>
      </w:r>
      <w:r w:rsidRPr="0030655E">
        <w:t xml:space="preserve">edical suction systems can be: </w:t>
      </w:r>
    </w:p>
    <w:p w14:paraId="37EBC777" w14:textId="33D64FD3" w:rsidR="00B34136" w:rsidRPr="0030655E" w:rsidRDefault="0053705F" w:rsidP="00B34136">
      <w:pPr>
        <w:pStyle w:val="DHHSbullet2"/>
        <w:ind w:left="1287"/>
      </w:pPr>
      <w:r>
        <w:t>c</w:t>
      </w:r>
      <w:r w:rsidRPr="0030655E">
        <w:t>entral vacuum</w:t>
      </w:r>
      <w:r w:rsidR="00785D6D">
        <w:t xml:space="preserve"> </w:t>
      </w:r>
    </w:p>
    <w:p w14:paraId="6B4FF0ED" w14:textId="3FC129C5" w:rsidR="00B34136" w:rsidRPr="0030655E" w:rsidRDefault="0053705F" w:rsidP="00B34136">
      <w:pPr>
        <w:pStyle w:val="DHHSbullet2"/>
        <w:ind w:left="1287"/>
      </w:pPr>
      <w:r>
        <w:t>v</w:t>
      </w:r>
      <w:r w:rsidRPr="0030655E">
        <w:t xml:space="preserve">enturi ejector operated </w:t>
      </w:r>
      <w:r w:rsidR="00B34136" w:rsidRPr="0030655E">
        <w:t>type</w:t>
      </w:r>
    </w:p>
    <w:p w14:paraId="74DAA5FC" w14:textId="3C4BCD95" w:rsidR="00B34136" w:rsidRDefault="00B34136" w:rsidP="004657F7">
      <w:pPr>
        <w:pStyle w:val="DHHSbodynumberedafterbullets"/>
      </w:pPr>
      <w:r w:rsidRPr="0030655E">
        <w:t xml:space="preserve">Medical gases are a critical part of hospitals in their ability to support life and to provide patient care. The design and installation of these systems is governed by Australian Standard </w:t>
      </w:r>
      <w:r w:rsidR="00A526AB">
        <w:t xml:space="preserve">AS </w:t>
      </w:r>
      <w:r w:rsidRPr="0030655E">
        <w:t>2896</w:t>
      </w:r>
      <w:r w:rsidR="00545FFA">
        <w:t>.</w:t>
      </w:r>
      <w:r w:rsidRPr="0030655E">
        <w:t xml:space="preserve"> </w:t>
      </w:r>
      <w:r w:rsidR="00545FFA">
        <w:t>D</w:t>
      </w:r>
      <w:r w:rsidR="00545FFA" w:rsidRPr="0030655E">
        <w:t xml:space="preserve">esigners </w:t>
      </w:r>
      <w:r w:rsidRPr="0030655E">
        <w:t>and installers must adhere to the requirements of this standard. The critical nature of these services demands a high level of knowledge of the standards by both designers and installers.</w:t>
      </w:r>
      <w:r w:rsidR="00785D6D">
        <w:t xml:space="preserve"> </w:t>
      </w:r>
    </w:p>
    <w:p w14:paraId="031EB85A" w14:textId="77777777" w:rsidR="00B34136" w:rsidRDefault="00B34136" w:rsidP="004657F7">
      <w:pPr>
        <w:pStyle w:val="Heading2"/>
      </w:pPr>
      <w:bookmarkStart w:id="9" w:name="_Toc22890836"/>
      <w:bookmarkStart w:id="10" w:name="_Toc29400798"/>
      <w:bookmarkStart w:id="11" w:name="_Toc42621631"/>
      <w:r>
        <w:t>Infrastructure</w:t>
      </w:r>
      <w:bookmarkEnd w:id="9"/>
      <w:bookmarkEnd w:id="10"/>
      <w:bookmarkEnd w:id="11"/>
    </w:p>
    <w:p w14:paraId="4C92F54A" w14:textId="77777777" w:rsidR="00B34136" w:rsidRPr="00C7334D" w:rsidRDefault="00B34136">
      <w:pPr>
        <w:pStyle w:val="DHHSbodynumbered"/>
      </w:pPr>
      <w:r w:rsidRPr="00C7334D">
        <w:t>Each medical gas is recommended to emanate from a central storage or generation point and reticulate to outlets throughout the hospital. The location of medical gas equipment and gas storage as well as the route and size of main pipework runs should account for the future expansion potential of a hospital. Plant layouts should be arranged to account for additional future plant or larger capacity gas storage vessels. Headers used as central distribution points will be arranged to allow for future connections without shutting down the service.</w:t>
      </w:r>
    </w:p>
    <w:p w14:paraId="3CD8F240" w14:textId="6F819567" w:rsidR="00B34136" w:rsidRPr="00C7334D" w:rsidRDefault="00B34136">
      <w:pPr>
        <w:pStyle w:val="DHHSbodynumbered"/>
      </w:pPr>
      <w:r w:rsidRPr="00C7334D">
        <w:t xml:space="preserve">Medical oxygen, compressed air and nitrous oxide multi-bottle storage manifolds will be arranged in a </w:t>
      </w:r>
      <w:r w:rsidR="0053705F" w:rsidRPr="00C7334D">
        <w:t xml:space="preserve">'duty' </w:t>
      </w:r>
      <w:r w:rsidRPr="00C7334D">
        <w:t xml:space="preserve">and </w:t>
      </w:r>
      <w:r w:rsidR="0053705F" w:rsidRPr="00C7334D">
        <w:t xml:space="preserve">'reserve' </w:t>
      </w:r>
      <w:r w:rsidRPr="00C7334D">
        <w:t xml:space="preserve">configuration incorporating automatic change-over facility. </w:t>
      </w:r>
      <w:r w:rsidR="00545FFA">
        <w:t>It is recommended that e</w:t>
      </w:r>
      <w:r w:rsidR="00545FFA" w:rsidRPr="00C7334D">
        <w:t xml:space="preserve">ach </w:t>
      </w:r>
      <w:r w:rsidRPr="00C7334D">
        <w:t>manifold include enough bottle storage to meet two days demand</w:t>
      </w:r>
      <w:r w:rsidR="00545FFA">
        <w:t>,</w:t>
      </w:r>
      <w:r w:rsidRPr="00C7334D">
        <w:t xml:space="preserve"> with additional bottles held in storage to meet three days or holiday period demand. All medical gas </w:t>
      </w:r>
      <w:r w:rsidRPr="00C7334D">
        <w:lastRenderedPageBreak/>
        <w:t>bottle manifolds are recommended to be sited adjacent to each other in a location which facilitates ease of access for bottle delivery and pick-up.</w:t>
      </w:r>
    </w:p>
    <w:p w14:paraId="69D24DF9" w14:textId="68BB8FD3" w:rsidR="00B34136" w:rsidRPr="00C7334D" w:rsidRDefault="00B34136">
      <w:pPr>
        <w:pStyle w:val="DHHSbodynumbered"/>
      </w:pPr>
      <w:r w:rsidRPr="00C7334D">
        <w:t xml:space="preserve">Pipework will generally be in copper, oxygen cleaned where appropriate in </w:t>
      </w:r>
      <w:r w:rsidR="00956BCD">
        <w:t>line</w:t>
      </w:r>
      <w:r w:rsidRPr="00C7334D">
        <w:t xml:space="preserve"> with </w:t>
      </w:r>
      <w:r w:rsidR="00A526AB">
        <w:t xml:space="preserve">AS </w:t>
      </w:r>
      <w:r w:rsidRPr="00C7334D">
        <w:t>2896. Where pipework is installed underground it will be protected against corrosion.</w:t>
      </w:r>
      <w:r w:rsidR="00785D6D">
        <w:t xml:space="preserve"> </w:t>
      </w:r>
    </w:p>
    <w:p w14:paraId="440649A9" w14:textId="7DEF98C3" w:rsidR="00B34136" w:rsidRPr="000B7EFC" w:rsidRDefault="00B34136">
      <w:pPr>
        <w:pStyle w:val="DHHSbodynumbered"/>
      </w:pPr>
      <w:bookmarkStart w:id="12" w:name="_Hlk29390760"/>
      <w:r w:rsidRPr="000B7EFC">
        <w:t xml:space="preserve">Underground distribution routes will be recorded. In-ground tracer tape will be installed to identify service routes and above ground markers will be installed </w:t>
      </w:r>
      <w:r w:rsidR="00545FFA">
        <w:t>at</w:t>
      </w:r>
      <w:r w:rsidRPr="000B7EFC">
        <w:t xml:space="preserve"> 10</w:t>
      </w:r>
      <w:r w:rsidR="00545FFA">
        <w:t xml:space="preserve"> metre</w:t>
      </w:r>
      <w:r w:rsidRPr="000B7EFC">
        <w:t xml:space="preserve"> intervals and any change of direction.</w:t>
      </w:r>
    </w:p>
    <w:bookmarkEnd w:id="12"/>
    <w:p w14:paraId="4044AA11" w14:textId="77777777" w:rsidR="00B34136" w:rsidRPr="00C7334D" w:rsidRDefault="00B34136">
      <w:pPr>
        <w:pStyle w:val="DHHSbodynumbered"/>
      </w:pPr>
      <w:r w:rsidRPr="00C7334D">
        <w:t xml:space="preserve">Valving will be provided to facilitate isolation of sections of the installation without undue interruption of the supply to the rest of the facility. </w:t>
      </w:r>
    </w:p>
    <w:p w14:paraId="253D2791" w14:textId="0B9ADAB1" w:rsidR="00B34136" w:rsidRDefault="00B34136">
      <w:pPr>
        <w:pStyle w:val="DHHSbodynumbered"/>
      </w:pPr>
      <w:r w:rsidRPr="00C7334D">
        <w:t>The medical gases installation will incorporate an appropriate low and high pressure audible and visual alarms for each medical gas system and vacuum system respectively. The alarm system will also be hard wired from the essential power supply</w:t>
      </w:r>
      <w:r w:rsidR="00545FFA">
        <w:t>,</w:t>
      </w:r>
      <w:r w:rsidRPr="00C7334D">
        <w:t xml:space="preserve"> if available</w:t>
      </w:r>
      <w:r w:rsidR="00545FFA">
        <w:t>,</w:t>
      </w:r>
      <w:r w:rsidRPr="00C7334D">
        <w:t xml:space="preserve"> with status indication panels sited strategically throughout the hospital on a </w:t>
      </w:r>
      <w:r w:rsidR="0053705F" w:rsidRPr="00C7334D">
        <w:t>master and slave arrangement.</w:t>
      </w:r>
      <w:r w:rsidR="00785D6D">
        <w:t xml:space="preserve"> </w:t>
      </w:r>
      <w:r w:rsidR="00545FFA" w:rsidRPr="00C7334D">
        <w:t xml:space="preserve">The </w:t>
      </w:r>
      <w:r w:rsidR="0053705F" w:rsidRPr="00C7334D">
        <w:t>master panel will be in a permanently manned location</w:t>
      </w:r>
      <w:r w:rsidR="00545FFA">
        <w:t xml:space="preserve"> (</w:t>
      </w:r>
      <w:r w:rsidR="0053705F" w:rsidRPr="00C7334D">
        <w:t>such as the emergency unit</w:t>
      </w:r>
      <w:r w:rsidR="00545FFA">
        <w:t>)</w:t>
      </w:r>
      <w:r w:rsidR="0053705F" w:rsidRPr="00C7334D">
        <w:t xml:space="preserve"> with slave panels sited in critical areas </w:t>
      </w:r>
      <w:r w:rsidR="00545FFA">
        <w:t>(</w:t>
      </w:r>
      <w:r w:rsidR="0053705F" w:rsidRPr="00C7334D">
        <w:t>such as operating unit and intensive care unit</w:t>
      </w:r>
      <w:r w:rsidR="00545FFA">
        <w:t>)</w:t>
      </w:r>
      <w:r w:rsidRPr="00C7334D">
        <w:t xml:space="preserve">. Alternatively, an independent alarm panel can be provided </w:t>
      </w:r>
      <w:r w:rsidR="0053705F" w:rsidRPr="00C7334D">
        <w:t>for operating unit and intensive care unit</w:t>
      </w:r>
      <w:r w:rsidRPr="00C7334D">
        <w:t>.</w:t>
      </w:r>
      <w:r w:rsidR="00785D6D">
        <w:t xml:space="preserve"> </w:t>
      </w:r>
      <w:r w:rsidRPr="00C7334D">
        <w:t xml:space="preserve">These panels </w:t>
      </w:r>
      <w:r w:rsidR="00545FFA">
        <w:t>will</w:t>
      </w:r>
      <w:r w:rsidR="00545FFA" w:rsidRPr="00C7334D">
        <w:t xml:space="preserve"> </w:t>
      </w:r>
      <w:r w:rsidRPr="00C7334D">
        <w:t>sense pressures in gas pipelines serving each respective area by means of pressure switches located downstream of isolation valves.</w:t>
      </w:r>
    </w:p>
    <w:p w14:paraId="3623B3E7" w14:textId="77777777" w:rsidR="00B34136" w:rsidRPr="00901BBF" w:rsidRDefault="00B34136" w:rsidP="004657F7">
      <w:pPr>
        <w:pStyle w:val="Heading2"/>
      </w:pPr>
      <w:bookmarkStart w:id="13" w:name="_Toc29400799"/>
      <w:bookmarkStart w:id="14" w:name="_Toc42621632"/>
      <w:r w:rsidRPr="00901BBF">
        <w:t>Oxygen</w:t>
      </w:r>
      <w:bookmarkEnd w:id="13"/>
      <w:bookmarkEnd w:id="14"/>
      <w:r w:rsidRPr="00901BBF">
        <w:t xml:space="preserve"> </w:t>
      </w:r>
    </w:p>
    <w:p w14:paraId="12B970AC" w14:textId="0B91B60F" w:rsidR="00B34136" w:rsidRPr="00C7334D" w:rsidRDefault="00B34136">
      <w:pPr>
        <w:pStyle w:val="DHHSbodynumbered"/>
      </w:pPr>
      <w:r w:rsidRPr="00C7334D">
        <w:t>Oxygen will be supplied from gas cylinders or bulk liquid gas storag</w:t>
      </w:r>
      <w:r>
        <w:t>e</w:t>
      </w:r>
      <w:r w:rsidRPr="00C7334D">
        <w:t xml:space="preserve"> </w:t>
      </w:r>
      <w:r>
        <w:t>(</w:t>
      </w:r>
      <w:r w:rsidR="00545FFA">
        <w:t>vacuum insulated tanks</w:t>
      </w:r>
      <w:r>
        <w:t>).</w:t>
      </w:r>
    </w:p>
    <w:p w14:paraId="6F244276" w14:textId="77777777" w:rsidR="00B34136" w:rsidRPr="00C7334D" w:rsidRDefault="00B34136">
      <w:pPr>
        <w:pStyle w:val="DHHSbodynumbered"/>
      </w:pPr>
      <w:r w:rsidRPr="00C7334D">
        <w:t xml:space="preserve">Standby sources in the form of gas cylinders or in the case of a bulk store a second smaller bulk liquid gas storage vessel will also be used. </w:t>
      </w:r>
    </w:p>
    <w:p w14:paraId="5D1689BF" w14:textId="5F9E4C04" w:rsidR="00B34136" w:rsidRPr="00C7334D" w:rsidRDefault="00B34136">
      <w:pPr>
        <w:pStyle w:val="DHHSbodynumbered"/>
      </w:pPr>
      <w:r w:rsidRPr="00C7334D">
        <w:t>Tanker delivery access must be considered and suppliers should be consulted for comment on access for new facilities. Delivery bays should be constructed from a non</w:t>
      </w:r>
      <w:r w:rsidR="00545FFA">
        <w:t>-</w:t>
      </w:r>
      <w:r w:rsidRPr="00C7334D">
        <w:t>bitumen surface, concrete hard standings are recommended.</w:t>
      </w:r>
      <w:r w:rsidR="00785D6D">
        <w:t xml:space="preserve"> </w:t>
      </w:r>
    </w:p>
    <w:p w14:paraId="44AF5F58" w14:textId="165DE04C" w:rsidR="00B34136" w:rsidRPr="00C7334D" w:rsidRDefault="00B34136">
      <w:pPr>
        <w:pStyle w:val="DHHSbodynumbered"/>
      </w:pPr>
      <w:r w:rsidRPr="00C7334D">
        <w:t>Separation distance of liquid oxygen vessels to other plant, structures, boundaries</w:t>
      </w:r>
      <w:r w:rsidR="00545FFA">
        <w:t xml:space="preserve"> and</w:t>
      </w:r>
      <w:r w:rsidR="00545FFA" w:rsidRPr="00C7334D">
        <w:t xml:space="preserve"> </w:t>
      </w:r>
      <w:r w:rsidRPr="00C7334D">
        <w:t xml:space="preserve">public roads will comply with the requirements of AS 1894. Storage compounds will be secure and well ventilated. Bulk gas compounds will generally require a water supply, </w:t>
      </w:r>
      <w:r w:rsidR="00545FFA">
        <w:t>three</w:t>
      </w:r>
      <w:r w:rsidRPr="00C7334D">
        <w:t xml:space="preserve">-phase power outlet and a communication outlet. </w:t>
      </w:r>
    </w:p>
    <w:p w14:paraId="16E98F95" w14:textId="2A727956" w:rsidR="00B34136" w:rsidRPr="00C7334D" w:rsidRDefault="00B34136">
      <w:pPr>
        <w:pStyle w:val="DHHSbodynumbered"/>
      </w:pPr>
      <w:r w:rsidRPr="00C7334D">
        <w:t>The change over from the duty to the standby source of oxygen must be automatic with a warning raised to indicate that the supply is now operating on the standby source.</w:t>
      </w:r>
      <w:r w:rsidR="00785D6D">
        <w:t xml:space="preserve"> </w:t>
      </w:r>
    </w:p>
    <w:p w14:paraId="19360E17" w14:textId="2B7D034D" w:rsidR="00B34136" w:rsidRPr="00A82527" w:rsidRDefault="00B34136" w:rsidP="004657F7">
      <w:pPr>
        <w:pStyle w:val="Heading2"/>
      </w:pPr>
      <w:bookmarkStart w:id="15" w:name="_Toc29400800"/>
      <w:bookmarkStart w:id="16" w:name="_Toc42621633"/>
      <w:r w:rsidRPr="00A82527">
        <w:t xml:space="preserve">Nitrous </w:t>
      </w:r>
      <w:r w:rsidR="0053705F" w:rsidRPr="00A82527">
        <w:t>oxide</w:t>
      </w:r>
      <w:bookmarkEnd w:id="15"/>
      <w:bookmarkEnd w:id="16"/>
      <w:r w:rsidR="0053705F" w:rsidRPr="00A82527">
        <w:t xml:space="preserve"> </w:t>
      </w:r>
    </w:p>
    <w:p w14:paraId="49C73C5B" w14:textId="77777777" w:rsidR="00B34136" w:rsidRPr="00C7334D" w:rsidRDefault="00B34136">
      <w:pPr>
        <w:pStyle w:val="DHHSbodynumbered"/>
      </w:pPr>
      <w:r w:rsidRPr="00C7334D">
        <w:t xml:space="preserve">Nitrous oxide is generally provided from gas cylinders arranged to provide a duty and standby source of the gas. The changeover from duty to standby cylinders will be automatic. </w:t>
      </w:r>
    </w:p>
    <w:p w14:paraId="7B634B24" w14:textId="77777777" w:rsidR="00B34136" w:rsidRPr="00C7334D" w:rsidRDefault="00B34136">
      <w:pPr>
        <w:pStyle w:val="DHHSbodynumbered"/>
      </w:pPr>
      <w:r w:rsidRPr="00C7334D">
        <w:t xml:space="preserve">Nitrous oxide is used within specialist areas. The location of the cylinders will be as close as practical to the areas of use, such as perioperative areas, maternity and dental units. The location of the cylinders will be a well-ventilated area and will allow for easy cylinder delivery. </w:t>
      </w:r>
    </w:p>
    <w:p w14:paraId="2B46AD59" w14:textId="77777777" w:rsidR="00B34136" w:rsidRPr="00C7334D" w:rsidRDefault="00B34136">
      <w:pPr>
        <w:pStyle w:val="DHHSbodynumbered"/>
      </w:pPr>
      <w:r w:rsidRPr="00C7334D">
        <w:t>Scavenging outlets must be provided adjacent to nitrous oxide outlets. These can be provided as part of a venturi suction system or as part of a vacuum pump suction system.</w:t>
      </w:r>
    </w:p>
    <w:p w14:paraId="5175002E" w14:textId="3BB83391" w:rsidR="00B34136" w:rsidRDefault="00B34136" w:rsidP="004657F7">
      <w:pPr>
        <w:pStyle w:val="Heading2"/>
      </w:pPr>
      <w:bookmarkStart w:id="17" w:name="_Toc29400801"/>
      <w:bookmarkStart w:id="18" w:name="_Toc42621634"/>
      <w:r>
        <w:t xml:space="preserve">Medical </w:t>
      </w:r>
      <w:bookmarkEnd w:id="17"/>
      <w:r w:rsidR="007C161D">
        <w:t>air</w:t>
      </w:r>
      <w:bookmarkEnd w:id="18"/>
    </w:p>
    <w:p w14:paraId="1094BE2E" w14:textId="77777777" w:rsidR="00B34136" w:rsidRPr="00C7334D" w:rsidRDefault="00B34136">
      <w:pPr>
        <w:pStyle w:val="DHHSbodynumbered"/>
      </w:pPr>
      <w:r w:rsidRPr="00C7334D">
        <w:t xml:space="preserve">Medical air systems are a life support system and will be used for medical purposes only. Separate compressed air systems will be used for non-medical purposes such as tool air. </w:t>
      </w:r>
    </w:p>
    <w:p w14:paraId="3550998B" w14:textId="249F0E08" w:rsidR="00B34136" w:rsidRPr="00C7334D" w:rsidRDefault="00B34136">
      <w:pPr>
        <w:pStyle w:val="DHHSbodynumbered"/>
      </w:pPr>
      <w:r w:rsidRPr="00C7334D">
        <w:lastRenderedPageBreak/>
        <w:t xml:space="preserve">Plant sizing will be in </w:t>
      </w:r>
      <w:r w:rsidR="00956BCD">
        <w:t>line</w:t>
      </w:r>
      <w:r w:rsidRPr="00C7334D">
        <w:t xml:space="preserve"> with AS 2896.</w:t>
      </w:r>
    </w:p>
    <w:p w14:paraId="701F3120" w14:textId="66EB80AE" w:rsidR="00B34136" w:rsidRPr="00C7334D" w:rsidRDefault="00B34136">
      <w:pPr>
        <w:pStyle w:val="DHHSbodynumbered"/>
      </w:pPr>
      <w:r w:rsidRPr="00C7334D">
        <w:t>Medical air will be generated by oil free compressor plant. Medical air compressors will be served from the standby power supply together with any associated plant such as driers and compressor cooling pumps and fans.</w:t>
      </w:r>
      <w:r w:rsidR="00785D6D">
        <w:t xml:space="preserve"> </w:t>
      </w:r>
      <w:r w:rsidRPr="00C7334D">
        <w:t xml:space="preserve">Medical </w:t>
      </w:r>
      <w:r w:rsidR="00545FFA" w:rsidRPr="00C7334D">
        <w:t xml:space="preserve">air </w:t>
      </w:r>
      <w:r w:rsidRPr="00C7334D">
        <w:t>receivers will be sized to limit the compressor operation to 10 starts</w:t>
      </w:r>
      <w:r w:rsidR="00785D6D">
        <w:t xml:space="preserve"> per</w:t>
      </w:r>
      <w:r w:rsidR="00785D6D" w:rsidRPr="00C7334D">
        <w:t xml:space="preserve"> </w:t>
      </w:r>
      <w:r w:rsidRPr="00C7334D">
        <w:t>hour at design flow.</w:t>
      </w:r>
    </w:p>
    <w:p w14:paraId="77AC8B56" w14:textId="2C1C6C9E" w:rsidR="00B34136" w:rsidRDefault="00B34136" w:rsidP="004657F7">
      <w:pPr>
        <w:pStyle w:val="Heading2"/>
      </w:pPr>
      <w:bookmarkStart w:id="19" w:name="_Toc29400802"/>
      <w:bookmarkStart w:id="20" w:name="_Toc42621635"/>
      <w:r>
        <w:t xml:space="preserve">Tool </w:t>
      </w:r>
      <w:r w:rsidR="00453DD2">
        <w:t>air</w:t>
      </w:r>
      <w:bookmarkEnd w:id="19"/>
      <w:bookmarkEnd w:id="20"/>
    </w:p>
    <w:p w14:paraId="316A660B" w14:textId="73B4730B" w:rsidR="00B34136" w:rsidRPr="00C7334D" w:rsidRDefault="00B34136">
      <w:pPr>
        <w:pStyle w:val="DHHSbodynumbered"/>
      </w:pPr>
      <w:r w:rsidRPr="00C7334D">
        <w:t>Tool air is used within specialist areas such as perioperative departments</w:t>
      </w:r>
      <w:r w:rsidR="00545FFA">
        <w:t>. T</w:t>
      </w:r>
      <w:r w:rsidRPr="00C7334D">
        <w:t xml:space="preserve">he location of the cylinders will be as close as practical to the areas of use. The location of the cylinders will allow for easy cylinder delivery. Tool air is generally provided from gas cylinders arranged to provide a duty and standby source of the gas. The changeover from duty to standby cylinders will be automatic. </w:t>
      </w:r>
    </w:p>
    <w:p w14:paraId="59D97AF4" w14:textId="76B4DC7B" w:rsidR="00B34136" w:rsidRPr="00C7334D" w:rsidRDefault="00B34136">
      <w:pPr>
        <w:pStyle w:val="DHHSbodynumbered"/>
      </w:pPr>
      <w:r w:rsidRPr="00C7334D">
        <w:t xml:space="preserve">Where the demand for tool air is extremely high consideration will be given to the use of high-pressure compressor sets to produce the tool air, in which case the designers will size the plant in </w:t>
      </w:r>
      <w:r w:rsidR="00956BCD">
        <w:t>line</w:t>
      </w:r>
      <w:r w:rsidRPr="00C7334D">
        <w:t xml:space="preserve"> with </w:t>
      </w:r>
      <w:r w:rsidR="00A526AB">
        <w:t xml:space="preserve">AS </w:t>
      </w:r>
      <w:r w:rsidRPr="00C7334D">
        <w:t>2896.</w:t>
      </w:r>
    </w:p>
    <w:p w14:paraId="074EBD02" w14:textId="137B54E5" w:rsidR="00B34136" w:rsidRPr="00C7334D" w:rsidRDefault="00B34136">
      <w:pPr>
        <w:pStyle w:val="DHHSbodynumbered"/>
      </w:pPr>
      <w:r w:rsidRPr="00C7334D">
        <w:t>Tool air pressure regulator and indicator panels will be provided at the point of use.</w:t>
      </w:r>
      <w:r w:rsidR="00785D6D">
        <w:t xml:space="preserve"> </w:t>
      </w:r>
    </w:p>
    <w:p w14:paraId="72B5AB73" w14:textId="7C2748B8" w:rsidR="00B34136" w:rsidRPr="00C7334D" w:rsidRDefault="00B34136">
      <w:pPr>
        <w:pStyle w:val="DHHSbodynumbered"/>
      </w:pPr>
      <w:r w:rsidRPr="00C7334D">
        <w:t>Dental air is required at the dental chairs to drive the pneumatic dental tools. Dental air compressors will be oil free units, the installation will include air driers, a dental air vessel and regulators. The distribution pipework is usually installed beneath the floor slab or in accessible channels to serve the dental chairs. A separately pressure regulated compressed air line may be required to serve such areas as dental laboratories.</w:t>
      </w:r>
      <w:r w:rsidR="00785D6D">
        <w:t xml:space="preserve"> </w:t>
      </w:r>
    </w:p>
    <w:p w14:paraId="3E7F3DAF" w14:textId="7B18EA59" w:rsidR="00B34136" w:rsidRDefault="00B34136" w:rsidP="004657F7">
      <w:pPr>
        <w:pStyle w:val="Heading2"/>
      </w:pPr>
      <w:bookmarkStart w:id="21" w:name="_Toc29400803"/>
      <w:bookmarkStart w:id="22" w:name="_Toc42621636"/>
      <w:r>
        <w:t>Vacuum (</w:t>
      </w:r>
      <w:r w:rsidR="00453DD2">
        <w:t>suction</w:t>
      </w:r>
      <w:r>
        <w:t>)</w:t>
      </w:r>
      <w:bookmarkEnd w:id="21"/>
      <w:bookmarkEnd w:id="22"/>
    </w:p>
    <w:p w14:paraId="326E336C" w14:textId="53DFB0D0" w:rsidR="00B34136" w:rsidRPr="00C7334D" w:rsidRDefault="00B34136" w:rsidP="004657F7">
      <w:pPr>
        <w:pStyle w:val="Heading3"/>
      </w:pPr>
      <w:r w:rsidRPr="00C7334D">
        <w:t xml:space="preserve">Central </w:t>
      </w:r>
      <w:r w:rsidR="00453DD2" w:rsidRPr="00C7334D">
        <w:t>plant</w:t>
      </w:r>
    </w:p>
    <w:p w14:paraId="48B78FB3" w14:textId="29D36FAA" w:rsidR="00B34136" w:rsidRPr="00C7334D" w:rsidRDefault="00B34136">
      <w:pPr>
        <w:pStyle w:val="DHHSbodynumbered"/>
      </w:pPr>
      <w:r w:rsidRPr="00C7334D">
        <w:t>The vacuum pump suction system is the preferred system for new hospitals</w:t>
      </w:r>
      <w:r w:rsidR="00545FFA">
        <w:t>. T</w:t>
      </w:r>
      <w:r w:rsidRPr="00C7334D">
        <w:t xml:space="preserve">his system comprises vacuum pumps mounted on the top of a horizontal vacuum cylinder. Plant will be located within a ventilated plant room and designed in </w:t>
      </w:r>
      <w:r w:rsidR="00956BCD">
        <w:t>line</w:t>
      </w:r>
      <w:r w:rsidRPr="00C7334D">
        <w:t xml:space="preserve"> with </w:t>
      </w:r>
      <w:r w:rsidR="00A526AB">
        <w:t xml:space="preserve">AS </w:t>
      </w:r>
      <w:r w:rsidRPr="00C7334D">
        <w:t xml:space="preserve">2120. </w:t>
      </w:r>
    </w:p>
    <w:p w14:paraId="45109B39" w14:textId="77777777" w:rsidR="00B34136" w:rsidRPr="00C7334D" w:rsidRDefault="00B34136">
      <w:pPr>
        <w:pStyle w:val="DHHSbodynumbered"/>
      </w:pPr>
      <w:r w:rsidRPr="00C7334D">
        <w:t xml:space="preserve">The discharge from the vacuum pumps will be located away from outside air intakes and open-able windows. </w:t>
      </w:r>
    </w:p>
    <w:p w14:paraId="291FA157" w14:textId="67576446" w:rsidR="00B34136" w:rsidRPr="00C7334D" w:rsidRDefault="00B34136">
      <w:pPr>
        <w:pStyle w:val="DHHSbodynumbered"/>
      </w:pPr>
      <w:r w:rsidRPr="00C7334D">
        <w:t>Vacuum receivers will be sized to limit the pump operation to 10 starts</w:t>
      </w:r>
      <w:r w:rsidR="00785D6D">
        <w:t xml:space="preserve"> per</w:t>
      </w:r>
      <w:r w:rsidR="00785D6D" w:rsidRPr="00C7334D">
        <w:t xml:space="preserve"> </w:t>
      </w:r>
      <w:r w:rsidRPr="00C7334D">
        <w:t>hour at design flow.</w:t>
      </w:r>
    </w:p>
    <w:p w14:paraId="3D7D52F5" w14:textId="77777777" w:rsidR="00B34136" w:rsidRPr="00C7334D" w:rsidRDefault="00B34136">
      <w:pPr>
        <w:pStyle w:val="DHHSbodynumbered"/>
      </w:pPr>
      <w:r w:rsidRPr="00C7334D">
        <w:t>The siting of the plant will allow for adequate flows of air to cool the pumps. The manufacturers will be consulted over the range of operating temperatures for which the supply system is designed. In extreme cases, refrigerator cooling may be required.</w:t>
      </w:r>
    </w:p>
    <w:p w14:paraId="0BE45E5E" w14:textId="77777777" w:rsidR="00B34136" w:rsidRPr="00C7334D" w:rsidRDefault="00B34136" w:rsidP="004657F7">
      <w:pPr>
        <w:pStyle w:val="Heading3"/>
      </w:pPr>
      <w:r w:rsidRPr="00C7334D">
        <w:t xml:space="preserve">Venturi suction </w:t>
      </w:r>
    </w:p>
    <w:p w14:paraId="5304FC10" w14:textId="796CDAA1" w:rsidR="00B34136" w:rsidRPr="00C7334D" w:rsidRDefault="00B34136">
      <w:pPr>
        <w:pStyle w:val="DHHSbodynumbered"/>
      </w:pPr>
      <w:r w:rsidRPr="00C7334D">
        <w:t>This system uses medical breathing air to produce suction</w:t>
      </w:r>
      <w:r w:rsidR="00545FFA">
        <w:t>. The</w:t>
      </w:r>
      <w:r w:rsidRPr="00C7334D">
        <w:t xml:space="preserve"> outlets include an air flow valve that adjusts the suction pressure produced at the outlet. The air flow of medical breathing air is relieved via a pipe to outside</w:t>
      </w:r>
      <w:r w:rsidR="00545FFA">
        <w:t>. T</w:t>
      </w:r>
      <w:r w:rsidRPr="00C7334D">
        <w:t>his relief pipe is not filtered and can cause infection control issues</w:t>
      </w:r>
      <w:r w:rsidR="00545FFA">
        <w:t>. V</w:t>
      </w:r>
      <w:r w:rsidRPr="00C7334D">
        <w:t xml:space="preserve">enturi suction systems will be designed in </w:t>
      </w:r>
      <w:r w:rsidR="00956BCD">
        <w:t>line</w:t>
      </w:r>
      <w:r w:rsidRPr="00C7334D">
        <w:t xml:space="preserve"> with AS 2120.</w:t>
      </w:r>
    </w:p>
    <w:p w14:paraId="0146C955" w14:textId="77777777" w:rsidR="00B34136" w:rsidRPr="00C7334D" w:rsidRDefault="00B34136">
      <w:pPr>
        <w:pStyle w:val="DHHSbodynumbered"/>
      </w:pPr>
      <w:r w:rsidRPr="00C7334D">
        <w:t xml:space="preserve">It is important that the discharge point for this relief is located away from any outside air intakes and open-able windows. </w:t>
      </w:r>
    </w:p>
    <w:p w14:paraId="13A67B5A" w14:textId="5C96CAE3" w:rsidR="00B34136" w:rsidRPr="00C7334D" w:rsidRDefault="00B34136">
      <w:pPr>
        <w:pStyle w:val="DHHSbodynumbered"/>
      </w:pPr>
      <w:r w:rsidRPr="00C7334D">
        <w:t xml:space="preserve">Where </w:t>
      </w:r>
      <w:r w:rsidR="0053705F" w:rsidRPr="00C7334D">
        <w:t xml:space="preserve">hospitals </w:t>
      </w:r>
      <w:r w:rsidRPr="00C7334D">
        <w:t xml:space="preserve">are being refurbished consideration will be given to the replacement of venturi suction to vacuum pump suction. Introduction of this system impacts the capacity of the medical air compressor system. </w:t>
      </w:r>
    </w:p>
    <w:p w14:paraId="74D6EB62" w14:textId="600C58C2" w:rsidR="00B34136" w:rsidRPr="00C7334D" w:rsidRDefault="00B34136">
      <w:pPr>
        <w:pStyle w:val="DHHSbodynumbered"/>
      </w:pPr>
      <w:r w:rsidRPr="00C7334D">
        <w:lastRenderedPageBreak/>
        <w:t>Vacuum plant will be served with standby power.</w:t>
      </w:r>
      <w:r w:rsidR="00785D6D">
        <w:t xml:space="preserve"> </w:t>
      </w:r>
    </w:p>
    <w:p w14:paraId="74110313" w14:textId="54B5F77F" w:rsidR="00B34136" w:rsidRPr="00C7334D" w:rsidRDefault="00B34136">
      <w:pPr>
        <w:pStyle w:val="DHHSbodynumbered"/>
      </w:pPr>
      <w:r w:rsidRPr="00C7334D">
        <w:t xml:space="preserve">Vacuum plant sizing will be in </w:t>
      </w:r>
      <w:r w:rsidR="00956BCD">
        <w:t>line</w:t>
      </w:r>
      <w:r w:rsidRPr="00C7334D">
        <w:t xml:space="preserve"> with AS 2896 and AS 2120</w:t>
      </w:r>
      <w:r w:rsidR="00545FFA">
        <w:t>.</w:t>
      </w:r>
    </w:p>
    <w:p w14:paraId="4BAFEADC" w14:textId="01CE3461" w:rsidR="00B34136" w:rsidRPr="0030655E" w:rsidRDefault="00B34136" w:rsidP="004657F7">
      <w:pPr>
        <w:pStyle w:val="Heading2"/>
      </w:pPr>
      <w:bookmarkStart w:id="23" w:name="_Toc22890837"/>
      <w:bookmarkStart w:id="24" w:name="_Toc29400804"/>
      <w:bookmarkStart w:id="25" w:name="_Toc42621637"/>
      <w:r w:rsidRPr="0030655E">
        <w:t xml:space="preserve">Other </w:t>
      </w:r>
      <w:r w:rsidR="00453DD2" w:rsidRPr="0030655E">
        <w:t>gas systems</w:t>
      </w:r>
      <w:bookmarkEnd w:id="23"/>
      <w:bookmarkEnd w:id="24"/>
      <w:bookmarkEnd w:id="25"/>
    </w:p>
    <w:p w14:paraId="36D1D69C" w14:textId="560D817B" w:rsidR="00B34136" w:rsidRPr="0030655E" w:rsidRDefault="00B34136">
      <w:pPr>
        <w:pStyle w:val="DHHSbodynumbered"/>
      </w:pPr>
      <w:r w:rsidRPr="0030655E">
        <w:t>Where other gases or mixtures of gases are used</w:t>
      </w:r>
      <w:r w:rsidR="00545FFA">
        <w:t>,</w:t>
      </w:r>
      <w:r w:rsidRPr="0030655E">
        <w:t xml:space="preserve"> medical gas system design concepts will be applied</w:t>
      </w:r>
      <w:r w:rsidR="00545FFA">
        <w:t>. T</w:t>
      </w:r>
      <w:r w:rsidRPr="0030655E">
        <w:t>he design will maintain the elements of gas specificity that are essential requirements together with all other relevant safety considerations.</w:t>
      </w:r>
    </w:p>
    <w:p w14:paraId="2B22EC99" w14:textId="5F2D2D17" w:rsidR="00B34136" w:rsidRPr="0030655E" w:rsidRDefault="00B34136">
      <w:pPr>
        <w:pStyle w:val="DHHSbodynumbered"/>
      </w:pPr>
      <w:r w:rsidRPr="0030655E">
        <w:t xml:space="preserve">Common gases </w:t>
      </w:r>
      <w:r w:rsidR="00785D6D">
        <w:t>and</w:t>
      </w:r>
      <w:r w:rsidR="00785D6D" w:rsidRPr="0030655E">
        <w:t xml:space="preserve"> </w:t>
      </w:r>
      <w:r w:rsidRPr="0030655E">
        <w:t>mixtures</w:t>
      </w:r>
      <w:r w:rsidR="00545FFA">
        <w:t xml:space="preserve"> are:</w:t>
      </w:r>
    </w:p>
    <w:p w14:paraId="75DB7FD2" w14:textId="79ED4BB2" w:rsidR="00B34136" w:rsidRPr="0030655E" w:rsidRDefault="00785D6D" w:rsidP="00497C6B">
      <w:pPr>
        <w:pStyle w:val="DHHSbullet1indent"/>
      </w:pPr>
      <w:r>
        <w:t>oxygen (O)</w:t>
      </w:r>
      <w:r w:rsidR="0053705F" w:rsidRPr="0030655E">
        <w:t xml:space="preserve"> </w:t>
      </w:r>
      <w:r>
        <w:t>and</w:t>
      </w:r>
      <w:r w:rsidRPr="0030655E">
        <w:t xml:space="preserve"> </w:t>
      </w:r>
      <w:r w:rsidR="0053705F" w:rsidRPr="0030655E">
        <w:t>nitrous oxide</w:t>
      </w:r>
      <w:r>
        <w:t xml:space="preserve"> (N</w:t>
      </w:r>
      <w:r w:rsidRPr="004657F7">
        <w:rPr>
          <w:vertAlign w:val="subscript"/>
        </w:rPr>
        <w:t>2</w:t>
      </w:r>
      <w:r>
        <w:t>O)</w:t>
      </w:r>
      <w:r w:rsidR="0053705F" w:rsidRPr="0030655E">
        <w:t xml:space="preserve"> (gas and air)</w:t>
      </w:r>
    </w:p>
    <w:p w14:paraId="00C39E1E" w14:textId="1F7DD35E" w:rsidR="00B34136" w:rsidRPr="0030655E" w:rsidRDefault="0053705F" w:rsidP="00497C6B">
      <w:pPr>
        <w:pStyle w:val="DHHSbullet1indent"/>
      </w:pPr>
      <w:r w:rsidRPr="0030655E">
        <w:t xml:space="preserve">helium </w:t>
      </w:r>
      <w:r w:rsidR="00785D6D">
        <w:t>(He) and</w:t>
      </w:r>
      <w:r w:rsidR="00785D6D" w:rsidRPr="0030655E">
        <w:t xml:space="preserve"> </w:t>
      </w:r>
      <w:r w:rsidRPr="0030655E">
        <w:t>oxygen</w:t>
      </w:r>
    </w:p>
    <w:p w14:paraId="6B959E11" w14:textId="39227F9C" w:rsidR="00B34136" w:rsidRPr="0030655E" w:rsidRDefault="0053705F" w:rsidP="00497C6B">
      <w:pPr>
        <w:pStyle w:val="DHHSbullet1indent"/>
      </w:pPr>
      <w:r w:rsidRPr="0030655E">
        <w:t>oxygen</w:t>
      </w:r>
      <w:r w:rsidR="00B34136" w:rsidRPr="0030655E">
        <w:t xml:space="preserve"> </w:t>
      </w:r>
      <w:r w:rsidR="00785D6D">
        <w:t>and carbon dioxide</w:t>
      </w:r>
      <w:r w:rsidR="00785D6D" w:rsidRPr="0030655E">
        <w:t xml:space="preserve"> </w:t>
      </w:r>
      <w:r w:rsidR="00785D6D">
        <w:t>(</w:t>
      </w:r>
      <w:r w:rsidR="00B34136" w:rsidRPr="0030655E">
        <w:t>CO</w:t>
      </w:r>
      <w:r w:rsidR="00B34136" w:rsidRPr="0030655E">
        <w:rPr>
          <w:sz w:val="16"/>
          <w:szCs w:val="16"/>
        </w:rPr>
        <w:t>2</w:t>
      </w:r>
      <w:r w:rsidR="00785D6D">
        <w:rPr>
          <w:sz w:val="16"/>
          <w:szCs w:val="16"/>
        </w:rPr>
        <w:t>)</w:t>
      </w:r>
    </w:p>
    <w:p w14:paraId="65DDE2B8" w14:textId="77777777" w:rsidR="00B34136" w:rsidRPr="0030655E" w:rsidRDefault="00B34136" w:rsidP="00497C6B">
      <w:pPr>
        <w:pStyle w:val="DHHSbullet1indent"/>
      </w:pPr>
      <w:r w:rsidRPr="0030655E">
        <w:t>CO</w:t>
      </w:r>
      <w:r w:rsidRPr="0030655E">
        <w:rPr>
          <w:sz w:val="16"/>
          <w:szCs w:val="16"/>
        </w:rPr>
        <w:t>2</w:t>
      </w:r>
    </w:p>
    <w:p w14:paraId="0C4F8B7B" w14:textId="4386473E" w:rsidR="00B34136" w:rsidRDefault="00B34136" w:rsidP="004657F7">
      <w:pPr>
        <w:pStyle w:val="DHHSbodynumberedafterbullets"/>
      </w:pPr>
      <w:r w:rsidRPr="0030655E">
        <w:t>In</w:t>
      </w:r>
      <w:r w:rsidR="00785D6D">
        <w:t xml:space="preserve"> the</w:t>
      </w:r>
      <w:r w:rsidRPr="0030655E">
        <w:t xml:space="preserve"> rare instance </w:t>
      </w:r>
      <w:r>
        <w:t xml:space="preserve">where </w:t>
      </w:r>
      <w:r w:rsidRPr="0030655E">
        <w:t>nitric oxide (NO) is used</w:t>
      </w:r>
      <w:r>
        <w:t xml:space="preserve"> or briefed</w:t>
      </w:r>
      <w:r w:rsidRPr="0030655E">
        <w:t>, distribution of the gas by pipeline is not recommended.</w:t>
      </w:r>
    </w:p>
    <w:p w14:paraId="62A6B0F8" w14:textId="77777777" w:rsidR="00B34136" w:rsidRPr="0030655E" w:rsidRDefault="00B34136">
      <w:pPr>
        <w:pStyle w:val="DHHSbodynumbered"/>
      </w:pPr>
      <w:r>
        <w:t>Laboratory systems and non-clinical areas will be served by dedicated plant and reticulation, independent of the clinical services.</w:t>
      </w:r>
    </w:p>
    <w:p w14:paraId="2FDFF848" w14:textId="6D67D4A1" w:rsidR="00B34136" w:rsidRDefault="00B34136" w:rsidP="004657F7">
      <w:pPr>
        <w:pStyle w:val="Heading2"/>
      </w:pPr>
      <w:bookmarkStart w:id="26" w:name="_Toc22890838"/>
      <w:bookmarkStart w:id="27" w:name="_Toc29400805"/>
      <w:bookmarkStart w:id="28" w:name="_Toc42621638"/>
      <w:r>
        <w:t xml:space="preserve">Area </w:t>
      </w:r>
      <w:r w:rsidR="00545FFA">
        <w:t xml:space="preserve">and </w:t>
      </w:r>
      <w:r w:rsidR="00453DD2">
        <w:t>room</w:t>
      </w:r>
      <w:r w:rsidR="00545FFA">
        <w:t>-</w:t>
      </w:r>
      <w:r w:rsidR="00453DD2">
        <w:t>specific requirements</w:t>
      </w:r>
      <w:bookmarkEnd w:id="26"/>
      <w:bookmarkEnd w:id="27"/>
      <w:bookmarkEnd w:id="28"/>
    </w:p>
    <w:p w14:paraId="3E44A1FF" w14:textId="49E78430" w:rsidR="00B34136" w:rsidRDefault="00B34136" w:rsidP="004657F7">
      <w:pPr>
        <w:pStyle w:val="Heading3"/>
      </w:pPr>
      <w:r>
        <w:t xml:space="preserve">Valve </w:t>
      </w:r>
      <w:r w:rsidR="00453DD2">
        <w:t>isolation boxes</w:t>
      </w:r>
    </w:p>
    <w:p w14:paraId="6A07842F" w14:textId="37E1482E" w:rsidR="00B34136" w:rsidRPr="00C7334D" w:rsidRDefault="00B34136">
      <w:pPr>
        <w:pStyle w:val="DHHSbodynumbered"/>
      </w:pPr>
      <w:r w:rsidRPr="00C7334D">
        <w:t xml:space="preserve">Valve isolation boxes will be mounted at a convenient height between </w:t>
      </w:r>
      <w:r w:rsidR="00545FFA">
        <w:t>one</w:t>
      </w:r>
      <w:r w:rsidRPr="00C7334D">
        <w:t xml:space="preserve"> and 1.8 m</w:t>
      </w:r>
      <w:r w:rsidR="00545FFA">
        <w:t>etres</w:t>
      </w:r>
      <w:r w:rsidRPr="00C7334D">
        <w:t xml:space="preserve"> such that they can be operated comfortably by staff without their needing to stoop or overreach</w:t>
      </w:r>
      <w:r>
        <w:t xml:space="preserve">. </w:t>
      </w:r>
      <w:r w:rsidRPr="00C7334D">
        <w:t>The order of the location of individual valves in an array will follow that for terminal units, for example: O2, N2O or N2O/O2</w:t>
      </w:r>
      <w:r w:rsidR="00785D6D">
        <w:t xml:space="preserve"> (or both)</w:t>
      </w:r>
      <w:r w:rsidRPr="00C7334D">
        <w:t>, MA, SA, VAC, He/O2.</w:t>
      </w:r>
      <w:r w:rsidR="00785D6D">
        <w:t xml:space="preserve"> </w:t>
      </w:r>
    </w:p>
    <w:p w14:paraId="3D66E307" w14:textId="3B24A830" w:rsidR="00B34136" w:rsidRPr="00C7334D" w:rsidRDefault="00B34136">
      <w:pPr>
        <w:pStyle w:val="DHHSbodynumbered"/>
      </w:pPr>
      <w:r w:rsidRPr="00C7334D">
        <w:t>If the array exceeds</w:t>
      </w:r>
      <w:r w:rsidR="00785D6D">
        <w:t xml:space="preserve"> one</w:t>
      </w:r>
      <w:r w:rsidRPr="00C7334D">
        <w:t xml:space="preserve"> </w:t>
      </w:r>
      <w:r w:rsidR="00785D6D">
        <w:t>(</w:t>
      </w:r>
      <w:r w:rsidRPr="00C7334D">
        <w:t>1</w:t>
      </w:r>
      <w:r w:rsidR="00785D6D">
        <w:t>)</w:t>
      </w:r>
      <w:r w:rsidRPr="00C7334D">
        <w:t xml:space="preserve"> m</w:t>
      </w:r>
      <w:r w:rsidR="00785D6D">
        <w:t>etre</w:t>
      </w:r>
      <w:r w:rsidRPr="00C7334D">
        <w:t xml:space="preserve"> in height from top to bottom, it may be preferable to arrange them in two columns. Care must be taken to ensure that valve isolation boxes cannot be obscured by opening doors </w:t>
      </w:r>
      <w:r>
        <w:t>and the like</w:t>
      </w:r>
      <w:r w:rsidRPr="00C7334D">
        <w:t xml:space="preserve">. </w:t>
      </w:r>
    </w:p>
    <w:p w14:paraId="2F206939" w14:textId="589AE0DB" w:rsidR="00B34136" w:rsidRPr="00C7334D" w:rsidRDefault="00B34136">
      <w:pPr>
        <w:pStyle w:val="DHHSbodynumbered"/>
      </w:pPr>
      <w:r w:rsidRPr="00C7334D">
        <w:t>The placing of local alarm indicators will be such that they are readily visible by staff</w:t>
      </w:r>
      <w:r w:rsidR="008445D1">
        <w:t xml:space="preserve"> –</w:t>
      </w:r>
      <w:r w:rsidRPr="00C7334D">
        <w:t xml:space="preserve"> notices, partitioning and screens will not obscure them. </w:t>
      </w:r>
    </w:p>
    <w:p w14:paraId="097175D8" w14:textId="4AF53AE4" w:rsidR="00B34136" w:rsidRPr="00C7334D" w:rsidRDefault="00B34136">
      <w:pPr>
        <w:pStyle w:val="DHHSbodynumbered"/>
      </w:pPr>
      <w:r w:rsidRPr="00C7334D">
        <w:t xml:space="preserve">The mounting height will be such that in the event of an audible alarm sounding, staff can activate the </w:t>
      </w:r>
      <w:r w:rsidR="008445D1">
        <w:t>‘</w:t>
      </w:r>
      <w:r w:rsidRPr="00C7334D">
        <w:t>mute</w:t>
      </w:r>
      <w:r w:rsidR="008445D1">
        <w:t>’</w:t>
      </w:r>
      <w:r w:rsidRPr="00C7334D">
        <w:t xml:space="preserve"> switch without overreaching and be a maximum </w:t>
      </w:r>
      <w:r w:rsidR="008445D1">
        <w:t xml:space="preserve">of </w:t>
      </w:r>
      <w:r w:rsidRPr="00C7334D">
        <w:t>1.8 m</w:t>
      </w:r>
      <w:r w:rsidR="00785D6D">
        <w:t>etres</w:t>
      </w:r>
      <w:r w:rsidRPr="00C7334D">
        <w:t xml:space="preserve"> above finished floor level.</w:t>
      </w:r>
    </w:p>
    <w:p w14:paraId="60C2938B" w14:textId="77777777" w:rsidR="00B34136" w:rsidRPr="00C7334D" w:rsidRDefault="00B34136">
      <w:pPr>
        <w:pStyle w:val="DHHSbodynumbered"/>
      </w:pPr>
      <w:r w:rsidRPr="00C7334D">
        <w:t>All valve isolation boxes will be labelled to identify the individual rooms</w:t>
      </w:r>
      <w:r>
        <w:t xml:space="preserve"> or</w:t>
      </w:r>
      <w:r w:rsidRPr="00C7334D">
        <w:t xml:space="preserve"> sets of terminal units</w:t>
      </w:r>
      <w:r>
        <w:t xml:space="preserve"> </w:t>
      </w:r>
      <w:r w:rsidRPr="00C7334D">
        <w:t>controlled. They will be provided with flow direction arrows.</w:t>
      </w:r>
    </w:p>
    <w:p w14:paraId="23A31E8E" w14:textId="7EA343D0" w:rsidR="00B34136" w:rsidRDefault="00B34136">
      <w:pPr>
        <w:pStyle w:val="DHHSbodynumbered"/>
      </w:pPr>
      <w:r w:rsidRPr="00C7334D">
        <w:t>In high dependency areas</w:t>
      </w:r>
      <w:r w:rsidR="008445D1">
        <w:t>,</w:t>
      </w:r>
      <w:r w:rsidRPr="00C7334D">
        <w:t xml:space="preserve"> such as CCU or ICU, dual circuits or subdivision of circuitry </w:t>
      </w:r>
      <w:r w:rsidR="00785D6D">
        <w:t xml:space="preserve">(or both) </w:t>
      </w:r>
      <w:r w:rsidRPr="00C7334D">
        <w:t xml:space="preserve">will occur to ensure that gases are always available to rooms </w:t>
      </w:r>
      <w:r w:rsidR="00785D6D">
        <w:t>and</w:t>
      </w:r>
      <w:r w:rsidR="00785D6D" w:rsidRPr="00C7334D">
        <w:t xml:space="preserve"> </w:t>
      </w:r>
      <w:r w:rsidRPr="00C7334D">
        <w:t xml:space="preserve">beds. Terminal units </w:t>
      </w:r>
      <w:r w:rsidR="008445D1">
        <w:t>must</w:t>
      </w:r>
      <w:r w:rsidRPr="00C7334D">
        <w:t xml:space="preserve"> be identified as associated with the specific valve isolation boxes. Correspondingly, valve isolation boxes will be similarly labelled to identify the terminal units controlled.</w:t>
      </w:r>
    </w:p>
    <w:p w14:paraId="43D7E602" w14:textId="77777777" w:rsidR="00B34136" w:rsidRPr="0043732F" w:rsidRDefault="00B34136" w:rsidP="004657F7">
      <w:pPr>
        <w:pStyle w:val="Heading3"/>
      </w:pPr>
      <w:r w:rsidRPr="0043732F">
        <w:t>Emergency connection point for critical areas</w:t>
      </w:r>
    </w:p>
    <w:p w14:paraId="4C9FABF3" w14:textId="48802513" w:rsidR="00B34136" w:rsidRDefault="00B34136">
      <w:pPr>
        <w:pStyle w:val="DHHSbodynumbered"/>
      </w:pPr>
      <w:r>
        <w:t>In critical areas, a</w:t>
      </w:r>
      <w:r w:rsidRPr="0043732F">
        <w:t xml:space="preserve"> connection within the valve box that will allow for emergency</w:t>
      </w:r>
      <w:r>
        <w:t xml:space="preserve"> </w:t>
      </w:r>
      <w:r w:rsidRPr="0043732F">
        <w:t>connection of gas supplies to the local ward or area is considered advantageous</w:t>
      </w:r>
      <w:r>
        <w:t xml:space="preserve"> and will be provided where practical</w:t>
      </w:r>
      <w:r w:rsidRPr="0043732F">
        <w:t xml:space="preserve">. </w:t>
      </w:r>
      <w:r w:rsidR="008445D1">
        <w:t>This will</w:t>
      </w:r>
      <w:r>
        <w:t xml:space="preserve"> </w:t>
      </w:r>
      <w:r w:rsidRPr="0043732F">
        <w:t>allow easy access to the gas pipeline in the area during the installation process for testing an</w:t>
      </w:r>
      <w:r>
        <w:t xml:space="preserve">d </w:t>
      </w:r>
      <w:r w:rsidRPr="0043732F">
        <w:t xml:space="preserve">purging procedures. It will </w:t>
      </w:r>
      <w:r w:rsidR="008445D1">
        <w:t xml:space="preserve"> also </w:t>
      </w:r>
      <w:r w:rsidRPr="0043732F">
        <w:t xml:space="preserve">provide flexibility for future use of the </w:t>
      </w:r>
      <w:r w:rsidRPr="0043732F">
        <w:lastRenderedPageBreak/>
        <w:t>pipeline</w:t>
      </w:r>
      <w:r w:rsidR="008445D1">
        <w:t>,</w:t>
      </w:r>
      <w:r w:rsidRPr="0043732F">
        <w:t xml:space="preserve"> should it be</w:t>
      </w:r>
      <w:r>
        <w:t xml:space="preserve"> </w:t>
      </w:r>
      <w:r w:rsidRPr="0043732F">
        <w:t>necessary to alter or upgrade mains</w:t>
      </w:r>
      <w:r w:rsidR="008445D1">
        <w:t>,</w:t>
      </w:r>
      <w:r w:rsidRPr="0043732F">
        <w:t xml:space="preserve"> by allowing local connection of an isolated gas supply</w:t>
      </w:r>
      <w:r>
        <w:t xml:space="preserve"> </w:t>
      </w:r>
      <w:r w:rsidRPr="0043732F">
        <w:t xml:space="preserve">when necessary. </w:t>
      </w:r>
    </w:p>
    <w:p w14:paraId="24945F39" w14:textId="5CD9DA55" w:rsidR="00B34136" w:rsidRDefault="00B34136" w:rsidP="004657F7">
      <w:pPr>
        <w:pStyle w:val="Heading3"/>
      </w:pPr>
      <w:r>
        <w:t xml:space="preserve">Terminal </w:t>
      </w:r>
      <w:r w:rsidR="00453DD2">
        <w:t>units</w:t>
      </w:r>
    </w:p>
    <w:p w14:paraId="6B15CE4B" w14:textId="77777777" w:rsidR="00B34136" w:rsidRPr="00C7334D" w:rsidRDefault="00B34136">
      <w:pPr>
        <w:pStyle w:val="DHHSbodynumbered"/>
      </w:pPr>
      <w:r w:rsidRPr="00C7334D">
        <w:t xml:space="preserve">Terminal units will be mounted in positions that result in the shortest practicable routes for flexible connecting assemblies, between the terminal unit and apparatus. </w:t>
      </w:r>
    </w:p>
    <w:p w14:paraId="3E98031D" w14:textId="771B12A8" w:rsidR="00B34136" w:rsidRPr="00C7334D" w:rsidRDefault="00B34136">
      <w:pPr>
        <w:pStyle w:val="DHHSbodynumbered"/>
      </w:pPr>
      <w:r w:rsidRPr="00C7334D">
        <w:t>Terminal units may be surface- or flush-mounted. They may also be incorporated with electrical services, nurse call systems, televisions, radio and audio services, in proprietary fittings such as medical supply units, wall panel systems and pendant fittings. When they are installed within such fittings, it is essential to maintain the concentricity of the terminal unit bezel with the fascia plate aperture</w:t>
      </w:r>
      <w:r w:rsidR="008445D1">
        <w:t>. I</w:t>
      </w:r>
      <w:r w:rsidRPr="00C7334D">
        <w:t>f the installation is highly eccentric, the bezel will bind on the fascia plate and the terminal unit will not function properly.</w:t>
      </w:r>
    </w:p>
    <w:p w14:paraId="68BC50B7" w14:textId="64A79F2E" w:rsidR="00B34136" w:rsidRPr="00C7334D" w:rsidRDefault="00B34136">
      <w:pPr>
        <w:pStyle w:val="DHHSbodynumbered"/>
      </w:pPr>
      <w:r w:rsidRPr="00C7334D">
        <w:t xml:space="preserve">The following is </w:t>
      </w:r>
      <w:r w:rsidRPr="004657F7">
        <w:rPr>
          <w:rStyle w:val="Strong"/>
        </w:rPr>
        <w:t>not</w:t>
      </w:r>
      <w:r w:rsidRPr="00C7334D">
        <w:t xml:space="preserve"> allowed</w:t>
      </w:r>
      <w:r w:rsidR="008445D1">
        <w:t>:</w:t>
      </w:r>
    </w:p>
    <w:p w14:paraId="1B716CE0" w14:textId="77777777" w:rsidR="00B34136" w:rsidRPr="00C7334D" w:rsidRDefault="00B34136">
      <w:pPr>
        <w:pStyle w:val="DHHSbullet1indent"/>
      </w:pPr>
      <w:r w:rsidRPr="00C7334D">
        <w:t>floor mounted terminal units</w:t>
      </w:r>
    </w:p>
    <w:p w14:paraId="696A9288" w14:textId="77777777" w:rsidR="00B34136" w:rsidRPr="00C7334D" w:rsidRDefault="00B34136">
      <w:pPr>
        <w:pStyle w:val="DHHSbullet1indent"/>
      </w:pPr>
      <w:r w:rsidRPr="00C7334D">
        <w:t>fixed pipelines carrying body or other fluids from a terminal unit to a remote suction jar</w:t>
      </w:r>
    </w:p>
    <w:p w14:paraId="38845E59" w14:textId="4B49AFD2" w:rsidR="00B34136" w:rsidRDefault="00B34136">
      <w:pPr>
        <w:pStyle w:val="DHHSbodynumbered"/>
      </w:pPr>
      <w:r w:rsidRPr="00C7334D">
        <w:t xml:space="preserve">Concealing medical gas outlets with </w:t>
      </w:r>
      <w:r w:rsidR="008445D1">
        <w:t>‘</w:t>
      </w:r>
      <w:r w:rsidRPr="00C7334D">
        <w:t>aesthetic</w:t>
      </w:r>
      <w:r w:rsidR="008445D1">
        <w:t>’</w:t>
      </w:r>
      <w:r w:rsidRPr="00C7334D">
        <w:t xml:space="preserve"> doors should be avoided wherever possible.</w:t>
      </w:r>
    </w:p>
    <w:p w14:paraId="0FF3FFB7" w14:textId="43007152" w:rsidR="00B34136" w:rsidRPr="00C7334D" w:rsidRDefault="00E34CC8" w:rsidP="004657F7">
      <w:pPr>
        <w:pStyle w:val="DHHSbodynumbered"/>
      </w:pPr>
      <w:r>
        <w:t>Terminal units will be mounted in the following order for horizontal and vertical arrays.</w:t>
      </w:r>
    </w:p>
    <w:p w14:paraId="10999012" w14:textId="261E5DFD" w:rsidR="00E34CC8" w:rsidRDefault="00E34CC8" w:rsidP="004657F7">
      <w:pPr>
        <w:pStyle w:val="DHHSfigurecaption"/>
      </w:pPr>
      <w:r>
        <w:t xml:space="preserve">Figure </w:t>
      </w:r>
      <w:fldSimple w:instr=" SEQ Figure \* ARABIC ">
        <w:r w:rsidR="006F0984">
          <w:rPr>
            <w:noProof/>
          </w:rPr>
          <w:t>1</w:t>
        </w:r>
      </w:fldSimple>
      <w:r>
        <w:t xml:space="preserve">: Wall mounted terminal unit mounting order </w:t>
      </w:r>
      <w:r w:rsidR="008445D1">
        <w:t>–</w:t>
      </w:r>
      <w:r>
        <w:t xml:space="preserve"> horizontal array</w:t>
      </w:r>
    </w:p>
    <w:p w14:paraId="1EA5C1C2" w14:textId="77777777" w:rsidR="00B34136" w:rsidRPr="00C7334D" w:rsidRDefault="00B34136" w:rsidP="004657F7">
      <w:pPr>
        <w:pStyle w:val="DHHSbody"/>
      </w:pPr>
      <w:r w:rsidRPr="00C7334D">
        <w:rPr>
          <w:noProof/>
        </w:rPr>
        <w:drawing>
          <wp:inline distT="0" distB="0" distL="0" distR="0" wp14:anchorId="65E1EE87" wp14:editId="3EE46CF4">
            <wp:extent cx="4171185" cy="1090295"/>
            <wp:effectExtent l="0" t="0" r="1270" b="0"/>
            <wp:docPr id="1" name="Picture 1" descr="In a horizontal array, terminals are mounted from left to right in the following order: O2, N20, O2/N20, MA, SA, VAC, AGS and He/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7267"/>
                    <a:stretch/>
                  </pic:blipFill>
                  <pic:spPr bwMode="auto">
                    <a:xfrm>
                      <a:off x="0" y="0"/>
                      <a:ext cx="4269170" cy="1115907"/>
                    </a:xfrm>
                    <a:prstGeom prst="rect">
                      <a:avLst/>
                    </a:prstGeom>
                    <a:ln>
                      <a:noFill/>
                    </a:ln>
                    <a:extLst>
                      <a:ext uri="{53640926-AAD7-44D8-BBD7-CCE9431645EC}">
                        <a14:shadowObscured xmlns:a14="http://schemas.microsoft.com/office/drawing/2010/main"/>
                      </a:ext>
                    </a:extLst>
                  </pic:spPr>
                </pic:pic>
              </a:graphicData>
            </a:graphic>
          </wp:inline>
        </w:drawing>
      </w:r>
    </w:p>
    <w:p w14:paraId="54095E62" w14:textId="2097488D" w:rsidR="00E34CC8" w:rsidRDefault="00E34CC8" w:rsidP="004657F7">
      <w:pPr>
        <w:pStyle w:val="DHHSfigurecaption"/>
      </w:pPr>
      <w:r>
        <w:lastRenderedPageBreak/>
        <w:t xml:space="preserve">Figure </w:t>
      </w:r>
      <w:fldSimple w:instr=" SEQ Figure \* ARABIC ">
        <w:r w:rsidR="006F0984">
          <w:rPr>
            <w:noProof/>
          </w:rPr>
          <w:t>2</w:t>
        </w:r>
      </w:fldSimple>
      <w:r>
        <w:t>: Wall mounted terminal unit mounting order – vertical array</w:t>
      </w:r>
    </w:p>
    <w:p w14:paraId="204DE1FD" w14:textId="77777777" w:rsidR="00B34136" w:rsidRPr="00C7334D" w:rsidRDefault="00B34136" w:rsidP="004657F7">
      <w:pPr>
        <w:pStyle w:val="DHHSbody"/>
      </w:pPr>
      <w:r w:rsidRPr="00C7334D">
        <w:rPr>
          <w:noProof/>
        </w:rPr>
        <w:drawing>
          <wp:inline distT="0" distB="0" distL="0" distR="0" wp14:anchorId="3D3C06A7" wp14:editId="3FA71461">
            <wp:extent cx="3619500" cy="4006217"/>
            <wp:effectExtent l="0" t="0" r="0" b="0"/>
            <wp:docPr id="4" name="Picture 4" descr="Terminals in a vertical array can be mounted in two ways.&#10;A single column: O2, N2O, O2/N2O, MA, SA, VAC, AGS AND He/O2.&#10;Two columns: Column 1: O2, N2O, O2/N20, MA and Column 2: SA, VAC, AGS and He/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1665"/>
                    <a:stretch/>
                  </pic:blipFill>
                  <pic:spPr bwMode="auto">
                    <a:xfrm>
                      <a:off x="0" y="0"/>
                      <a:ext cx="3680843" cy="4074114"/>
                    </a:xfrm>
                    <a:prstGeom prst="rect">
                      <a:avLst/>
                    </a:prstGeom>
                    <a:ln>
                      <a:noFill/>
                    </a:ln>
                    <a:extLst>
                      <a:ext uri="{53640926-AAD7-44D8-BBD7-CCE9431645EC}">
                        <a14:shadowObscured xmlns:a14="http://schemas.microsoft.com/office/drawing/2010/main"/>
                      </a:ext>
                    </a:extLst>
                  </pic:spPr>
                </pic:pic>
              </a:graphicData>
            </a:graphic>
          </wp:inline>
        </w:drawing>
      </w:r>
    </w:p>
    <w:p w14:paraId="3E2B95D0" w14:textId="6EBF6551" w:rsidR="00B34136" w:rsidRDefault="00B34136" w:rsidP="004657F7">
      <w:pPr>
        <w:pStyle w:val="Heading2"/>
      </w:pPr>
      <w:bookmarkStart w:id="29" w:name="_Toc29400806"/>
      <w:bookmarkStart w:id="30" w:name="_Toc42621639"/>
      <w:r>
        <w:t>Cross</w:t>
      </w:r>
      <w:r w:rsidR="006950BC">
        <w:t>-</w:t>
      </w:r>
      <w:r w:rsidR="00453DD2">
        <w:t>connection</w:t>
      </w:r>
      <w:bookmarkEnd w:id="29"/>
      <w:bookmarkEnd w:id="30"/>
    </w:p>
    <w:p w14:paraId="291F2F52" w14:textId="4016F8E1" w:rsidR="00B34136" w:rsidRDefault="00B34136">
      <w:pPr>
        <w:pStyle w:val="DHHSbodynumbered"/>
      </w:pPr>
      <w:r w:rsidRPr="00C7334D">
        <w:t xml:space="preserve">All systems must be checked to ensure that there is no cross-connection between pipelines for different gases and vacuum. </w:t>
      </w:r>
      <w:r w:rsidR="008445D1">
        <w:t>T</w:t>
      </w:r>
      <w:r w:rsidRPr="00C7334D">
        <w:t>ests will not commence until all installations are complete and plant operational</w:t>
      </w:r>
      <w:r>
        <w:t>.</w:t>
      </w:r>
      <w:r w:rsidRPr="00C7334D">
        <w:t xml:space="preserve"> </w:t>
      </w:r>
      <w:r w:rsidR="008445D1">
        <w:t>T</w:t>
      </w:r>
      <w:r w:rsidRPr="00C7334D">
        <w:t xml:space="preserve">ests can be performed using </w:t>
      </w:r>
      <w:r w:rsidR="008445D1">
        <w:t>‘</w:t>
      </w:r>
      <w:r w:rsidRPr="00C7334D">
        <w:t>test</w:t>
      </w:r>
      <w:r w:rsidR="008445D1">
        <w:t>’</w:t>
      </w:r>
      <w:r w:rsidRPr="00C7334D">
        <w:t xml:space="preserve"> gas or </w:t>
      </w:r>
      <w:r w:rsidR="008445D1">
        <w:t>‘</w:t>
      </w:r>
      <w:r w:rsidRPr="00C7334D">
        <w:t>working</w:t>
      </w:r>
      <w:r w:rsidR="008445D1">
        <w:t>’</w:t>
      </w:r>
      <w:r w:rsidRPr="00C7334D">
        <w:t xml:space="preserve"> gas.</w:t>
      </w:r>
      <w:r>
        <w:t xml:space="preserve"> Testing and commissioning </w:t>
      </w:r>
      <w:r w:rsidR="008445D1">
        <w:t xml:space="preserve">will be </w:t>
      </w:r>
      <w:r>
        <w:t xml:space="preserve">in </w:t>
      </w:r>
      <w:r w:rsidR="00956BCD">
        <w:t>line</w:t>
      </w:r>
      <w:r>
        <w:t xml:space="preserve"> with </w:t>
      </w:r>
      <w:r w:rsidR="00A526AB">
        <w:t xml:space="preserve">AS </w:t>
      </w:r>
      <w:r>
        <w:t xml:space="preserve">2896. </w:t>
      </w:r>
    </w:p>
    <w:p w14:paraId="2C671FB4" w14:textId="77777777" w:rsidR="00B34136" w:rsidRDefault="00B34136" w:rsidP="00B34136">
      <w:pPr>
        <w:rPr>
          <w:rFonts w:ascii="Roboto" w:eastAsia="Calibri" w:hAnsi="Roboto"/>
          <w:color w:val="007A48"/>
          <w:sz w:val="30"/>
          <w:szCs w:val="30"/>
        </w:rPr>
      </w:pPr>
      <w:bookmarkStart w:id="31" w:name="_Toc22890839"/>
      <w:r>
        <w:rPr>
          <w:rFonts w:ascii="Roboto" w:eastAsia="Calibri" w:hAnsi="Roboto"/>
          <w:color w:val="007A48"/>
          <w:sz w:val="30"/>
          <w:szCs w:val="30"/>
        </w:rPr>
        <w:br w:type="page"/>
      </w:r>
    </w:p>
    <w:p w14:paraId="0B37F7BD" w14:textId="2279AF3C" w:rsidR="00B34136" w:rsidRPr="0071660A" w:rsidRDefault="00B34136" w:rsidP="004657F7">
      <w:pPr>
        <w:pStyle w:val="Heading1"/>
        <w:rPr>
          <w:rFonts w:eastAsia="Calibri"/>
        </w:rPr>
      </w:pPr>
      <w:bookmarkStart w:id="32" w:name="_Toc29400807"/>
      <w:bookmarkStart w:id="33" w:name="_Toc42621640"/>
      <w:r w:rsidRPr="0071660A">
        <w:rPr>
          <w:rFonts w:eastAsia="Calibri"/>
        </w:rPr>
        <w:lastRenderedPageBreak/>
        <w:t xml:space="preserve">Vertical </w:t>
      </w:r>
      <w:r w:rsidR="00453DD2" w:rsidRPr="0071660A">
        <w:rPr>
          <w:rFonts w:eastAsia="Calibri"/>
        </w:rPr>
        <w:t>transport</w:t>
      </w:r>
      <w:bookmarkEnd w:id="31"/>
      <w:bookmarkEnd w:id="32"/>
      <w:bookmarkEnd w:id="33"/>
    </w:p>
    <w:p w14:paraId="7D27BBBD" w14:textId="77777777" w:rsidR="00B34136" w:rsidRPr="0071660A" w:rsidRDefault="00B34136" w:rsidP="004657F7">
      <w:pPr>
        <w:pStyle w:val="Heading2"/>
      </w:pPr>
      <w:bookmarkStart w:id="34" w:name="_Toc22890840"/>
      <w:bookmarkStart w:id="35" w:name="_Toc29400808"/>
      <w:bookmarkStart w:id="36" w:name="_Toc42621641"/>
      <w:r w:rsidRPr="0071660A">
        <w:t>Introduction</w:t>
      </w:r>
      <w:bookmarkEnd w:id="34"/>
      <w:bookmarkEnd w:id="35"/>
      <w:bookmarkEnd w:id="36"/>
    </w:p>
    <w:p w14:paraId="785A36B2" w14:textId="589C4D81" w:rsidR="00B34136" w:rsidRPr="0071660A" w:rsidRDefault="00B34136">
      <w:pPr>
        <w:pStyle w:val="DHHSbodynumbered"/>
      </w:pPr>
      <w:r w:rsidRPr="0071660A">
        <w:t xml:space="preserve">The minimum requirements for provision of lifts and escalators </w:t>
      </w:r>
      <w:r w:rsidR="0053705F" w:rsidRPr="0071660A">
        <w:t xml:space="preserve">in healthcare facilities </w:t>
      </w:r>
      <w:r w:rsidR="008445D1">
        <w:t xml:space="preserve">and </w:t>
      </w:r>
      <w:r w:rsidRPr="0071660A">
        <w:t xml:space="preserve">listed in this </w:t>
      </w:r>
      <w:r w:rsidR="008445D1">
        <w:t>section</w:t>
      </w:r>
      <w:r w:rsidRPr="0071660A">
        <w:t xml:space="preserve">. This information has been derived from industry best practices and is not to be taken as a design solution for all projects. </w:t>
      </w:r>
    </w:p>
    <w:p w14:paraId="37F14061" w14:textId="7F562D9E" w:rsidR="00B34136" w:rsidRPr="0071660A" w:rsidRDefault="00B34136">
      <w:pPr>
        <w:pStyle w:val="DHHSbodynumbered"/>
      </w:pPr>
      <w:r w:rsidRPr="0071660A">
        <w:t xml:space="preserve">Planning guidance for vertical transportation services are specific </w:t>
      </w:r>
      <w:r w:rsidR="008445D1">
        <w:t>to</w:t>
      </w:r>
      <w:r w:rsidR="008445D1" w:rsidRPr="0071660A">
        <w:t xml:space="preserve"> </w:t>
      </w:r>
      <w:r w:rsidRPr="0071660A">
        <w:t>each project and must be assessed and agreed after consultation with relevant stakeholders. Individual requirements for each hospital must be considered and incorporated within the design for each specific site.</w:t>
      </w:r>
    </w:p>
    <w:p w14:paraId="3D3F8A80" w14:textId="28210BD9" w:rsidR="00B34136" w:rsidRPr="0071660A" w:rsidRDefault="00B34136">
      <w:pPr>
        <w:pStyle w:val="DHHSbodynumbered"/>
      </w:pPr>
      <w:r w:rsidRPr="0071660A">
        <w:t>In addition to the minimum requirements and depending upon the type of facility and installed services</w:t>
      </w:r>
      <w:r w:rsidR="008445D1">
        <w:t>,</w:t>
      </w:r>
      <w:r w:rsidRPr="0071660A">
        <w:t xml:space="preserve"> the following Australian Standard shall apply:</w:t>
      </w:r>
    </w:p>
    <w:p w14:paraId="49B1325B" w14:textId="16D04AA4" w:rsidR="00B34136" w:rsidRPr="0071660A" w:rsidRDefault="00B34136">
      <w:pPr>
        <w:pStyle w:val="DHHSbullet1indent"/>
      </w:pPr>
      <w:r w:rsidRPr="0071660A">
        <w:t xml:space="preserve">AS/NZS 1680.2.5 Interior </w:t>
      </w:r>
      <w:r w:rsidR="0053705F" w:rsidRPr="0071660A">
        <w:t xml:space="preserve">lighting </w:t>
      </w:r>
      <w:r w:rsidR="008445D1">
        <w:t>–</w:t>
      </w:r>
      <w:r w:rsidR="008445D1" w:rsidRPr="0071660A">
        <w:t xml:space="preserve"> </w:t>
      </w:r>
      <w:r w:rsidRPr="0071660A">
        <w:t>Hospital and medical tasks.</w:t>
      </w:r>
    </w:p>
    <w:p w14:paraId="2DE5AF71" w14:textId="6A0D04B1" w:rsidR="00B34136" w:rsidRDefault="00B34136">
      <w:pPr>
        <w:pStyle w:val="DHHSbodynumbered"/>
      </w:pPr>
      <w:r w:rsidRPr="0071660A">
        <w:t xml:space="preserve">All clauses outlined in </w:t>
      </w:r>
      <w:r w:rsidR="008445D1">
        <w:t xml:space="preserve">this </w:t>
      </w:r>
      <w:r w:rsidRPr="0071660A">
        <w:t>section</w:t>
      </w:r>
      <w:r w:rsidR="008445D1">
        <w:t xml:space="preserve"> are </w:t>
      </w:r>
      <w:r w:rsidRPr="0071660A">
        <w:t>in addition to statutory requirements.</w:t>
      </w:r>
    </w:p>
    <w:p w14:paraId="0A518D00" w14:textId="77777777" w:rsidR="00B34136" w:rsidRPr="0071660A" w:rsidRDefault="00B34136" w:rsidP="004657F7">
      <w:pPr>
        <w:pStyle w:val="Heading2"/>
      </w:pPr>
      <w:bookmarkStart w:id="37" w:name="_Toc22890841"/>
      <w:bookmarkStart w:id="38" w:name="_Toc29400809"/>
      <w:bookmarkStart w:id="39" w:name="_Toc42621642"/>
      <w:r w:rsidRPr="0071660A">
        <w:t>Scope</w:t>
      </w:r>
      <w:bookmarkEnd w:id="37"/>
      <w:bookmarkEnd w:id="38"/>
      <w:bookmarkEnd w:id="39"/>
    </w:p>
    <w:p w14:paraId="759AE534" w14:textId="2E0B4C65" w:rsidR="00B34136" w:rsidRPr="0071660A" w:rsidRDefault="00B34136">
      <w:pPr>
        <w:pStyle w:val="DHHSbodynumbered"/>
      </w:pPr>
      <w:r w:rsidRPr="0071660A">
        <w:t xml:space="preserve">The scope of this </w:t>
      </w:r>
      <w:r w:rsidR="008445D1">
        <w:t xml:space="preserve">section </w:t>
      </w:r>
      <w:r w:rsidRPr="0071660A">
        <w:t xml:space="preserve">covers vertical transportation services </w:t>
      </w:r>
      <w:r w:rsidR="008445D1">
        <w:t>including</w:t>
      </w:r>
      <w:r w:rsidRPr="0071660A">
        <w:t xml:space="preserve">: </w:t>
      </w:r>
    </w:p>
    <w:p w14:paraId="52580289" w14:textId="027E9B02" w:rsidR="00B34136" w:rsidRPr="0071660A" w:rsidRDefault="0053705F">
      <w:pPr>
        <w:pStyle w:val="DHHSbullet1indent"/>
      </w:pPr>
      <w:r w:rsidRPr="0071660A">
        <w:t xml:space="preserve">bed </w:t>
      </w:r>
      <w:r w:rsidR="00785D6D">
        <w:t>and</w:t>
      </w:r>
      <w:r w:rsidR="00785D6D" w:rsidRPr="0071660A">
        <w:t xml:space="preserve"> </w:t>
      </w:r>
      <w:r w:rsidRPr="0071660A">
        <w:t xml:space="preserve">passenger lifts </w:t>
      </w:r>
    </w:p>
    <w:p w14:paraId="15662B59" w14:textId="1AF77D20" w:rsidR="00B34136" w:rsidRPr="0071660A" w:rsidRDefault="0053705F">
      <w:pPr>
        <w:pStyle w:val="DHHSbullet1indent"/>
      </w:pPr>
      <w:r w:rsidRPr="0071660A">
        <w:t xml:space="preserve">passenger lifts </w:t>
      </w:r>
    </w:p>
    <w:p w14:paraId="0B99A630" w14:textId="307E1801" w:rsidR="00B34136" w:rsidRPr="0071660A" w:rsidRDefault="0053705F">
      <w:pPr>
        <w:pStyle w:val="DHHSbullet1indent"/>
      </w:pPr>
      <w:r w:rsidRPr="0071660A">
        <w:t xml:space="preserve">goods lifts </w:t>
      </w:r>
    </w:p>
    <w:p w14:paraId="20894366" w14:textId="6FFC4F42" w:rsidR="00B34136" w:rsidRPr="0071660A" w:rsidRDefault="0053705F">
      <w:pPr>
        <w:pStyle w:val="DHHSbullet1indent"/>
      </w:pPr>
      <w:r w:rsidRPr="0071660A">
        <w:t>service lifts</w:t>
      </w:r>
    </w:p>
    <w:p w14:paraId="4CEB703A" w14:textId="4E0D46CF" w:rsidR="00B34136" w:rsidRPr="0071660A" w:rsidRDefault="0053705F">
      <w:pPr>
        <w:pStyle w:val="DHHSbullet1indent"/>
      </w:pPr>
      <w:r w:rsidRPr="0071660A">
        <w:t>escalators and moving walks</w:t>
      </w:r>
      <w:r w:rsidR="00B34136" w:rsidRPr="0071660A">
        <w:t>.</w:t>
      </w:r>
    </w:p>
    <w:p w14:paraId="7F3D488B" w14:textId="6E625E0C" w:rsidR="00B34136" w:rsidRPr="0071660A" w:rsidRDefault="00B34136">
      <w:pPr>
        <w:pStyle w:val="DHHSbodynumbered"/>
      </w:pPr>
      <w:r w:rsidRPr="0071660A">
        <w:t xml:space="preserve">The </w:t>
      </w:r>
      <w:r w:rsidR="0053705F" w:rsidRPr="0071660A">
        <w:t xml:space="preserve">design </w:t>
      </w:r>
      <w:r w:rsidRPr="0071660A">
        <w:t xml:space="preserve">will comply with relevant Australian and </w:t>
      </w:r>
      <w:r w:rsidR="0053705F" w:rsidRPr="0071660A">
        <w:t xml:space="preserve">international </w:t>
      </w:r>
      <w:r w:rsidRPr="0071660A">
        <w:t xml:space="preserve">standards, the Building Code of Australia and the </w:t>
      </w:r>
      <w:r w:rsidRPr="00D13D48">
        <w:rPr>
          <w:i/>
          <w:iCs/>
        </w:rPr>
        <w:t>Disability Discrimination Act</w:t>
      </w:r>
      <w:r w:rsidRPr="0071660A">
        <w:t>.</w:t>
      </w:r>
    </w:p>
    <w:p w14:paraId="6D14F6C7" w14:textId="4EBEE3F3" w:rsidR="00B34136" w:rsidRPr="0071660A" w:rsidRDefault="00B34136">
      <w:pPr>
        <w:pStyle w:val="DHHSbodynumbered"/>
      </w:pPr>
      <w:r w:rsidRPr="0071660A">
        <w:t>Preliminary planning for lifts, escalators and moving walks must be based on generic spatial details to assist in providing a design on which competitive tenders can be received from multiple suppliers within the local market.</w:t>
      </w:r>
      <w:r w:rsidR="00785D6D">
        <w:t xml:space="preserve"> </w:t>
      </w:r>
    </w:p>
    <w:p w14:paraId="584C1AEA" w14:textId="0C3BC935" w:rsidR="00B34136" w:rsidRDefault="00B34136">
      <w:pPr>
        <w:pStyle w:val="DHHSbodynumbered"/>
      </w:pPr>
      <w:r w:rsidRPr="0071660A">
        <w:t>Where specialist equipment or products are identified as being required, and such are available from a limited number of suppliers or a sole supplier, these suppliers must be invited to become an active partner in the design development process.</w:t>
      </w:r>
    </w:p>
    <w:p w14:paraId="7AB16F20" w14:textId="77777777" w:rsidR="00B34136" w:rsidRDefault="00B34136">
      <w:pPr>
        <w:rPr>
          <w:rFonts w:ascii="Roboto" w:eastAsia="Calibri" w:hAnsi="Roboto"/>
          <w:i/>
          <w:color w:val="007A48"/>
          <w:sz w:val="26"/>
          <w:szCs w:val="26"/>
        </w:rPr>
      </w:pPr>
      <w:bookmarkStart w:id="40" w:name="_Toc22890842"/>
      <w:r>
        <w:rPr>
          <w:rFonts w:ascii="Roboto" w:eastAsia="Calibri" w:hAnsi="Roboto"/>
          <w:i/>
          <w:color w:val="007A48"/>
          <w:sz w:val="26"/>
          <w:szCs w:val="26"/>
        </w:rPr>
        <w:br w:type="page"/>
      </w:r>
    </w:p>
    <w:p w14:paraId="040122F4" w14:textId="7542D088" w:rsidR="00B34136" w:rsidRPr="0071660A" w:rsidRDefault="00B34136" w:rsidP="004657F7">
      <w:pPr>
        <w:pStyle w:val="Heading2"/>
      </w:pPr>
      <w:bookmarkStart w:id="41" w:name="_Toc29400810"/>
      <w:bookmarkStart w:id="42" w:name="_Toc42621643"/>
      <w:r w:rsidRPr="0071660A">
        <w:lastRenderedPageBreak/>
        <w:t xml:space="preserve">General </w:t>
      </w:r>
      <w:r w:rsidR="00453DD2" w:rsidRPr="0071660A">
        <w:t>requirements</w:t>
      </w:r>
      <w:bookmarkEnd w:id="40"/>
      <w:bookmarkEnd w:id="41"/>
      <w:bookmarkEnd w:id="42"/>
    </w:p>
    <w:p w14:paraId="3AA695BA" w14:textId="77777777" w:rsidR="00B34136" w:rsidRPr="0071660A" w:rsidRDefault="00B34136" w:rsidP="004657F7">
      <w:pPr>
        <w:pStyle w:val="Heading3"/>
      </w:pPr>
      <w:r w:rsidRPr="0071660A">
        <w:t>Lifts</w:t>
      </w:r>
    </w:p>
    <w:p w14:paraId="23CAC50F" w14:textId="77777777" w:rsidR="00B34136" w:rsidRPr="0071660A" w:rsidRDefault="00B34136">
      <w:pPr>
        <w:pStyle w:val="DHHSbodynumbered"/>
      </w:pPr>
      <w:r w:rsidRPr="0071660A">
        <w:t>Lifts are to be used for transportation of passengers and goods. An assessment of the number, type, speed and size of the lifts must be made based on the agreed site-specific design brief as developed in the design phases.</w:t>
      </w:r>
    </w:p>
    <w:p w14:paraId="34F684AD" w14:textId="18E47EAF" w:rsidR="00B34136" w:rsidRPr="0071660A" w:rsidRDefault="00B34136">
      <w:pPr>
        <w:pStyle w:val="DHHSbodynumbered"/>
      </w:pPr>
      <w:r w:rsidRPr="0071660A">
        <w:t xml:space="preserve">Types of </w:t>
      </w:r>
      <w:r w:rsidR="0053705F" w:rsidRPr="0071660A">
        <w:t xml:space="preserve">lift </w:t>
      </w:r>
      <w:r w:rsidRPr="0071660A">
        <w:t>in healthcare buildings</w:t>
      </w:r>
    </w:p>
    <w:p w14:paraId="704CAB79" w14:textId="36F760E0" w:rsidR="00B34136" w:rsidRPr="0071660A" w:rsidRDefault="0053705F">
      <w:pPr>
        <w:pStyle w:val="DHHSbullet1indent"/>
      </w:pPr>
      <w:r w:rsidRPr="0071660A">
        <w:t>public lifts</w:t>
      </w:r>
      <w:r w:rsidR="00785D6D">
        <w:t xml:space="preserve"> –</w:t>
      </w:r>
      <w:r w:rsidR="00785D6D" w:rsidRPr="0071660A">
        <w:t xml:space="preserve"> </w:t>
      </w:r>
      <w:r w:rsidRPr="0071660A">
        <w:t>passenger lift</w:t>
      </w:r>
      <w:r w:rsidR="00785D6D">
        <w:t>:</w:t>
      </w:r>
      <w:r w:rsidR="00785D6D" w:rsidRPr="0071660A">
        <w:t xml:space="preserve"> </w:t>
      </w:r>
      <w:r w:rsidRPr="0071660A">
        <w:t>these lifts carry general passenger traffic including ambulant passengers, semi-ambulant passengers using mobility aids and wheelchair users</w:t>
      </w:r>
    </w:p>
    <w:p w14:paraId="485B3DDD" w14:textId="4B4C3961" w:rsidR="00B34136" w:rsidRPr="0071660A" w:rsidRDefault="0053705F">
      <w:pPr>
        <w:pStyle w:val="DHHSbullet1indent"/>
      </w:pPr>
      <w:r w:rsidRPr="0071660A">
        <w:t>bed lifts – passenger lift</w:t>
      </w:r>
      <w:r w:rsidR="00785D6D">
        <w:t>:</w:t>
      </w:r>
      <w:r w:rsidR="00785D6D" w:rsidRPr="0071660A">
        <w:t xml:space="preserve"> </w:t>
      </w:r>
      <w:r w:rsidRPr="0071660A">
        <w:t>these lifts are intended for the carrying of a patient on a standard extended bed together with the necessary staff and equipment</w:t>
      </w:r>
    </w:p>
    <w:p w14:paraId="6F611954" w14:textId="4CB89DEE" w:rsidR="00B34136" w:rsidRPr="0071660A" w:rsidRDefault="0053705F">
      <w:pPr>
        <w:pStyle w:val="DHHSbullet1indent"/>
      </w:pPr>
      <w:r w:rsidRPr="0071660A">
        <w:t>goods lifts</w:t>
      </w:r>
      <w:r w:rsidR="00785D6D">
        <w:t xml:space="preserve"> –</w:t>
      </w:r>
      <w:r w:rsidR="00785D6D" w:rsidRPr="0071660A">
        <w:t xml:space="preserve"> </w:t>
      </w:r>
      <w:r w:rsidRPr="0071660A">
        <w:t>goods</w:t>
      </w:r>
      <w:r w:rsidR="00785D6D">
        <w:t xml:space="preserve"> and</w:t>
      </w:r>
      <w:r w:rsidR="00785D6D" w:rsidRPr="0071660A">
        <w:t xml:space="preserve"> </w:t>
      </w:r>
      <w:r w:rsidRPr="0071660A">
        <w:t>passenger lift</w:t>
      </w:r>
      <w:r w:rsidR="00785D6D">
        <w:t>:</w:t>
      </w:r>
      <w:r w:rsidRPr="0071660A">
        <w:t xml:space="preserve"> these lifts are intended for the movement of conventional goods and dirty items</w:t>
      </w:r>
    </w:p>
    <w:p w14:paraId="7B15A7BE" w14:textId="66EB4A89" w:rsidR="00B34136" w:rsidRPr="0071660A" w:rsidRDefault="0053705F">
      <w:pPr>
        <w:pStyle w:val="DHHSbullet1indent"/>
      </w:pPr>
      <w:r w:rsidRPr="0071660A">
        <w:t>service lifts (dumb wai</w:t>
      </w:r>
      <w:r w:rsidR="00B34136" w:rsidRPr="0071660A">
        <w:t>ter)</w:t>
      </w:r>
      <w:r w:rsidR="00785D6D">
        <w:t>: these</w:t>
      </w:r>
      <w:r w:rsidR="00B34136" w:rsidRPr="0071660A">
        <w:t xml:space="preserve"> are not designed to carry passengers. They are arranged to be called and despatched externally, normally by a call point adjacent to each hatch or access door. Their size should be selected for each specific purpose.</w:t>
      </w:r>
    </w:p>
    <w:p w14:paraId="08D12A86" w14:textId="5A3B1F82" w:rsidR="00B34136" w:rsidRDefault="0053705F">
      <w:pPr>
        <w:pStyle w:val="DHHSbullet1indent"/>
      </w:pPr>
      <w:r w:rsidRPr="0071660A">
        <w:t>helipad lift – passenger lift</w:t>
      </w:r>
      <w:r w:rsidR="00785D6D">
        <w:t>:</w:t>
      </w:r>
      <w:r w:rsidRPr="0071660A">
        <w:t xml:space="preserve"> designed to accommodate a trauma team and patient</w:t>
      </w:r>
    </w:p>
    <w:p w14:paraId="5B590BF4" w14:textId="29349884" w:rsidR="00B34136" w:rsidRDefault="0053705F">
      <w:pPr>
        <w:pStyle w:val="DHHSbullet1indent"/>
      </w:pPr>
      <w:r>
        <w:t>bariatric lift</w:t>
      </w:r>
    </w:p>
    <w:p w14:paraId="022C6F1A" w14:textId="61CBD512" w:rsidR="00B34136" w:rsidRDefault="00785D6D">
      <w:pPr>
        <w:pStyle w:val="DHHSbullet1indent"/>
      </w:pPr>
      <w:r>
        <w:t>AGV</w:t>
      </w:r>
      <w:r w:rsidR="0053705F">
        <w:t xml:space="preserve"> lift</w:t>
      </w:r>
      <w:r>
        <w:t>.</w:t>
      </w:r>
    </w:p>
    <w:p w14:paraId="3CF93340" w14:textId="5191D420" w:rsidR="00B34136" w:rsidRPr="0071660A" w:rsidRDefault="00B34136" w:rsidP="004657F7">
      <w:pPr>
        <w:pStyle w:val="Heading3"/>
      </w:pPr>
      <w:r w:rsidRPr="0071660A">
        <w:t xml:space="preserve">Escalators </w:t>
      </w:r>
      <w:r w:rsidR="00453DD2" w:rsidRPr="0071660A">
        <w:t>and moving walkways</w:t>
      </w:r>
    </w:p>
    <w:p w14:paraId="3F2FF94A" w14:textId="3DE5F82D" w:rsidR="00B34136" w:rsidRPr="0071660A" w:rsidRDefault="00B34136">
      <w:pPr>
        <w:pStyle w:val="DHHSbodynumbered"/>
      </w:pPr>
      <w:r w:rsidRPr="0071660A">
        <w:t xml:space="preserve">Careful consideration must be given </w:t>
      </w:r>
      <w:r w:rsidR="008445D1">
        <w:t>before</w:t>
      </w:r>
      <w:r w:rsidRPr="0071660A">
        <w:t xml:space="preserve"> incorporating escalators or moving walks into any project, as </w:t>
      </w:r>
      <w:r w:rsidR="008445D1">
        <w:t>(</w:t>
      </w:r>
      <w:r w:rsidRPr="0071660A">
        <w:t>although ideal for moving large numbers of people very quickly</w:t>
      </w:r>
      <w:r w:rsidR="008445D1">
        <w:t>)</w:t>
      </w:r>
      <w:r w:rsidRPr="0071660A">
        <w:t xml:space="preserve"> they are generally not suitable for use by disabled, elderly or infirm passengers. Use in locations where there is a through site link or link to a transport hub may be appropriate</w:t>
      </w:r>
      <w:r w:rsidR="008445D1">
        <w:t>;</w:t>
      </w:r>
      <w:r w:rsidRPr="0071660A">
        <w:t xml:space="preserve"> however</w:t>
      </w:r>
      <w:r w:rsidR="008445D1">
        <w:t>,</w:t>
      </w:r>
      <w:r w:rsidRPr="0071660A">
        <w:t xml:space="preserve"> lifts and stairways must also be provided</w:t>
      </w:r>
      <w:r>
        <w:t xml:space="preserve"> </w:t>
      </w:r>
      <w:r w:rsidRPr="0071660A">
        <w:t>offer</w:t>
      </w:r>
      <w:r>
        <w:t>ing</w:t>
      </w:r>
      <w:r w:rsidRPr="0071660A">
        <w:t xml:space="preserve"> a choice for those passengers who are unable or not comfortable using escalators and moving walks. </w:t>
      </w:r>
    </w:p>
    <w:p w14:paraId="2E7B59F6" w14:textId="77777777" w:rsidR="00B34136" w:rsidRDefault="00B34136">
      <w:pPr>
        <w:pStyle w:val="DHHSbodynumbered"/>
      </w:pPr>
      <w:r w:rsidRPr="0071660A">
        <w:t>A stationary escalator is not safe for use as a stairway as it does not meet stairway code requirements.</w:t>
      </w:r>
    </w:p>
    <w:p w14:paraId="4FA90F4B" w14:textId="39E63062" w:rsidR="00B34136" w:rsidRPr="0071660A" w:rsidRDefault="00B34136" w:rsidP="004657F7">
      <w:pPr>
        <w:pStyle w:val="DHHSbodynumbered"/>
      </w:pPr>
      <w:r w:rsidRPr="0071660A">
        <w:t xml:space="preserve">Lift </w:t>
      </w:r>
      <w:r w:rsidR="00453DD2" w:rsidRPr="0071660A">
        <w:t>traffic design</w:t>
      </w:r>
    </w:p>
    <w:p w14:paraId="23BC9062" w14:textId="77777777" w:rsidR="00B34136" w:rsidRPr="0071660A" w:rsidRDefault="00B34136">
      <w:pPr>
        <w:pStyle w:val="DHHSbodynumbered"/>
      </w:pPr>
      <w:r w:rsidRPr="0071660A">
        <w:t xml:space="preserve">An effective traffic design can only be achieved if the operating requirements of the healthcare facility are understood. The following factors will be considered: </w:t>
      </w:r>
    </w:p>
    <w:p w14:paraId="13FBB4CE" w14:textId="64BCDB3C" w:rsidR="00B34136" w:rsidRPr="0071660A" w:rsidRDefault="008445D1">
      <w:pPr>
        <w:pStyle w:val="DHHSbullet1indent"/>
      </w:pPr>
      <w:r w:rsidRPr="0071660A">
        <w:t xml:space="preserve">the number of floors in the building, main entry floors and floors served </w:t>
      </w:r>
    </w:p>
    <w:p w14:paraId="3A53F4F7" w14:textId="1AF26D05" w:rsidR="00B34136" w:rsidRPr="0071660A" w:rsidRDefault="008445D1">
      <w:pPr>
        <w:pStyle w:val="DHHSbullet1indent"/>
      </w:pPr>
      <w:r w:rsidRPr="0071660A">
        <w:t xml:space="preserve">the number of beds in the hospital </w:t>
      </w:r>
    </w:p>
    <w:p w14:paraId="41E96F10" w14:textId="646A4494" w:rsidR="00B34136" w:rsidRPr="0071660A" w:rsidRDefault="008445D1">
      <w:pPr>
        <w:pStyle w:val="DHHSbullet1indent"/>
      </w:pPr>
      <w:r w:rsidRPr="0071660A">
        <w:t xml:space="preserve">types </w:t>
      </w:r>
      <w:r w:rsidR="00B34136" w:rsidRPr="0071660A">
        <w:t>of departments proposed to be accommodated within the building</w:t>
      </w:r>
    </w:p>
    <w:p w14:paraId="33568FA8" w14:textId="3A6EA7F2" w:rsidR="00B34136" w:rsidRPr="0071660A" w:rsidRDefault="00B34136">
      <w:pPr>
        <w:pStyle w:val="DHHSbullet1indent"/>
      </w:pPr>
      <w:r w:rsidRPr="0071660A">
        <w:t>location of theatres, X-ray, CT</w:t>
      </w:r>
      <w:r w:rsidR="00A526AB">
        <w:t xml:space="preserve"> and </w:t>
      </w:r>
      <w:r w:rsidRPr="0071660A">
        <w:t>MRI scanning equipment and the like</w:t>
      </w:r>
    </w:p>
    <w:p w14:paraId="1AD1E784" w14:textId="77777777" w:rsidR="00B34136" w:rsidRPr="0071660A" w:rsidRDefault="00B34136">
      <w:pPr>
        <w:pStyle w:val="DHHSbullet1indent"/>
      </w:pPr>
      <w:r w:rsidRPr="0071660A">
        <w:t xml:space="preserve">ward rounds and operating lists </w:t>
      </w:r>
    </w:p>
    <w:p w14:paraId="01AB715F" w14:textId="77777777" w:rsidR="00B34136" w:rsidRPr="0071660A" w:rsidRDefault="00B34136">
      <w:pPr>
        <w:pStyle w:val="DHHSbullet1indent"/>
      </w:pPr>
      <w:r w:rsidRPr="0071660A">
        <w:t>numbers of staff and shift patterns</w:t>
      </w:r>
    </w:p>
    <w:p w14:paraId="292908C1" w14:textId="77777777" w:rsidR="00B34136" w:rsidRPr="0071660A" w:rsidRDefault="00B34136">
      <w:pPr>
        <w:pStyle w:val="DHHSbullet1indent"/>
      </w:pPr>
      <w:r w:rsidRPr="0071660A">
        <w:t>numbers of visitors and visiting hours</w:t>
      </w:r>
    </w:p>
    <w:p w14:paraId="26419348" w14:textId="77777777" w:rsidR="00B34136" w:rsidRPr="0071660A" w:rsidRDefault="00B34136">
      <w:pPr>
        <w:pStyle w:val="DHHSbullet1indent"/>
      </w:pPr>
      <w:r w:rsidRPr="0071660A">
        <w:t xml:space="preserve">distribution and deliveries of food, beverages, supplies </w:t>
      </w:r>
    </w:p>
    <w:p w14:paraId="3CBC005B" w14:textId="77777777" w:rsidR="00B34136" w:rsidRPr="0071660A" w:rsidRDefault="00B34136">
      <w:pPr>
        <w:pStyle w:val="DHHSbullet1indent"/>
      </w:pPr>
      <w:r w:rsidRPr="0071660A">
        <w:t>waste disposal</w:t>
      </w:r>
    </w:p>
    <w:p w14:paraId="13667CAD" w14:textId="77777777" w:rsidR="00B34136" w:rsidRPr="0071660A" w:rsidRDefault="00B34136">
      <w:pPr>
        <w:pStyle w:val="DHHSbullet1indent"/>
      </w:pPr>
      <w:r w:rsidRPr="0071660A">
        <w:t>emergency evacuation</w:t>
      </w:r>
    </w:p>
    <w:p w14:paraId="5DC9B59D" w14:textId="77777777" w:rsidR="00B34136" w:rsidRPr="0071660A" w:rsidRDefault="00B34136">
      <w:pPr>
        <w:pStyle w:val="DHHSbullet1indent"/>
      </w:pPr>
      <w:r w:rsidRPr="0071660A">
        <w:t>logistics</w:t>
      </w:r>
    </w:p>
    <w:p w14:paraId="1E492DCA" w14:textId="705ED296" w:rsidR="00B34136" w:rsidRPr="0071660A" w:rsidRDefault="00B34136" w:rsidP="004657F7">
      <w:pPr>
        <w:pStyle w:val="DHHSbodynumberedafterbullets"/>
      </w:pPr>
      <w:r w:rsidRPr="0071660A">
        <w:t xml:space="preserve">The analysis for public lifts will be based on </w:t>
      </w:r>
      <w:r w:rsidR="008445D1">
        <w:t>two</w:t>
      </w:r>
      <w:r w:rsidRPr="0071660A">
        <w:t xml:space="preserve">-way traffic demand for a </w:t>
      </w:r>
      <w:r w:rsidR="008445D1">
        <w:t>five</w:t>
      </w:r>
      <w:r w:rsidRPr="0071660A">
        <w:t>-minute interval.</w:t>
      </w:r>
    </w:p>
    <w:p w14:paraId="786E6B7B" w14:textId="6952F33B" w:rsidR="00B34136" w:rsidRPr="0071660A" w:rsidRDefault="00B34136">
      <w:pPr>
        <w:pStyle w:val="DHHSbodynumbered"/>
      </w:pPr>
      <w:r w:rsidRPr="0071660A">
        <w:lastRenderedPageBreak/>
        <w:t>For calculations</w:t>
      </w:r>
      <w:r w:rsidR="008445D1">
        <w:t>,</w:t>
      </w:r>
      <w:r w:rsidRPr="0071660A">
        <w:t xml:space="preserve"> the traffic demand will be in the range of </w:t>
      </w:r>
      <w:r w:rsidR="008445D1">
        <w:t xml:space="preserve">eight to </w:t>
      </w:r>
      <w:r w:rsidRPr="0071660A">
        <w:t>12.5</w:t>
      </w:r>
      <w:r w:rsidR="008445D1">
        <w:t xml:space="preserve"> per cent</w:t>
      </w:r>
      <w:r w:rsidR="008445D1" w:rsidRPr="0071660A">
        <w:t xml:space="preserve"> </w:t>
      </w:r>
      <w:r w:rsidRPr="0071660A">
        <w:t>of the likely maximum population</w:t>
      </w:r>
      <w:r w:rsidR="006F0984">
        <w:t>, w</w:t>
      </w:r>
      <w:r w:rsidRPr="0071660A">
        <w:t xml:space="preserve">here </w:t>
      </w:r>
      <w:r w:rsidR="006F0984">
        <w:t>eight per cent</w:t>
      </w:r>
      <w:r w:rsidRPr="0071660A">
        <w:t xml:space="preserve"> will be used for very light use buildings and 12.5</w:t>
      </w:r>
      <w:r w:rsidR="006F0984">
        <w:t xml:space="preserve"> per cent</w:t>
      </w:r>
      <w:r w:rsidR="006F0984" w:rsidRPr="0071660A">
        <w:t xml:space="preserve"> </w:t>
      </w:r>
      <w:r w:rsidRPr="0071660A">
        <w:t xml:space="preserve">for heavy use buildings. Handling capacity is not usually an issue due to use of large capacity bed </w:t>
      </w:r>
      <w:r w:rsidR="00A526AB">
        <w:t>and</w:t>
      </w:r>
      <w:r w:rsidR="00A526AB" w:rsidRPr="0071660A">
        <w:t xml:space="preserve"> </w:t>
      </w:r>
      <w:r w:rsidRPr="0071660A">
        <w:t>passenger lifts but needs to be assessed with waiting interval.</w:t>
      </w:r>
    </w:p>
    <w:p w14:paraId="3F1E4A5D" w14:textId="77777777" w:rsidR="00B34136" w:rsidRPr="0071660A" w:rsidRDefault="00B34136">
      <w:pPr>
        <w:pStyle w:val="DHHSbodynumbered"/>
      </w:pPr>
      <w:r w:rsidRPr="0071660A">
        <w:t>The average interval of the lift (waiting interval) will be in the range of 30 to 50 seconds.</w:t>
      </w:r>
    </w:p>
    <w:p w14:paraId="0817B538" w14:textId="78B17330" w:rsidR="00B34136" w:rsidRPr="0071660A" w:rsidRDefault="00B34136">
      <w:pPr>
        <w:pStyle w:val="DHHSbodynumbered"/>
      </w:pPr>
      <w:r w:rsidRPr="0071660A">
        <w:t xml:space="preserve">The maximum population can generally be based on between </w:t>
      </w:r>
      <w:r w:rsidR="006F0984">
        <w:t>three</w:t>
      </w:r>
      <w:r w:rsidR="006F0984" w:rsidRPr="0071660A">
        <w:t xml:space="preserve"> </w:t>
      </w:r>
      <w:r w:rsidRPr="0071660A">
        <w:t xml:space="preserve">and </w:t>
      </w:r>
      <w:r w:rsidR="006F0984">
        <w:t>five</w:t>
      </w:r>
      <w:r w:rsidR="006F0984" w:rsidRPr="0071660A">
        <w:t xml:space="preserve"> </w:t>
      </w:r>
      <w:r w:rsidRPr="0071660A">
        <w:t xml:space="preserve">persons per bed. Where peak hours or routes differ between staff and visitors, these populations can be separated into </w:t>
      </w:r>
      <w:r w:rsidR="006F0984">
        <w:t>one</w:t>
      </w:r>
      <w:r w:rsidR="006F0984" w:rsidRPr="0071660A">
        <w:t xml:space="preserve"> </w:t>
      </w:r>
      <w:r w:rsidRPr="0071660A">
        <w:t xml:space="preserve">and </w:t>
      </w:r>
      <w:r w:rsidR="006F0984">
        <w:t>two</w:t>
      </w:r>
      <w:r w:rsidR="006F0984" w:rsidRPr="0071660A">
        <w:t xml:space="preserve"> </w:t>
      </w:r>
      <w:r w:rsidRPr="0071660A">
        <w:t xml:space="preserve">visitors per bed and </w:t>
      </w:r>
      <w:r w:rsidR="006F0984">
        <w:t>two</w:t>
      </w:r>
      <w:r w:rsidR="006F0984" w:rsidRPr="0071660A">
        <w:t xml:space="preserve"> </w:t>
      </w:r>
      <w:r w:rsidRPr="0071660A">
        <w:t xml:space="preserve">and </w:t>
      </w:r>
      <w:r w:rsidR="006F0984">
        <w:t>three</w:t>
      </w:r>
      <w:r w:rsidR="006F0984" w:rsidRPr="0071660A">
        <w:t xml:space="preserve"> </w:t>
      </w:r>
      <w:r w:rsidRPr="0071660A">
        <w:t xml:space="preserve">staff per bed. It will be noted that the maximum building population is measured as the maximum number of persons present in the healthcare building and not the theoretical occupancy of the building based on people </w:t>
      </w:r>
      <w:r w:rsidR="00A526AB">
        <w:t>per square metre</w:t>
      </w:r>
      <w:r w:rsidRPr="0071660A">
        <w:t>.</w:t>
      </w:r>
    </w:p>
    <w:p w14:paraId="108FDA3F" w14:textId="00C816AD" w:rsidR="00B34136" w:rsidRDefault="00B34136">
      <w:pPr>
        <w:pStyle w:val="DHHSbodynumbered"/>
      </w:pPr>
      <w:r w:rsidRPr="0071660A">
        <w:t>Populations for non-patient ward departments will be determined based on a person per square met</w:t>
      </w:r>
      <w:r w:rsidR="006F0984">
        <w:t>re</w:t>
      </w:r>
      <w:r w:rsidRPr="0071660A">
        <w:t xml:space="preserve"> or persons per room basis depending on the type of use.</w:t>
      </w:r>
    </w:p>
    <w:p w14:paraId="17C0AFAF" w14:textId="42872382" w:rsidR="00B34136" w:rsidRPr="0071660A" w:rsidRDefault="00B34136" w:rsidP="004657F7">
      <w:pPr>
        <w:pStyle w:val="DHHSbodynumbered"/>
      </w:pPr>
      <w:r w:rsidRPr="0071660A">
        <w:t xml:space="preserve">Lift </w:t>
      </w:r>
      <w:r w:rsidR="00B052CD" w:rsidRPr="0071660A">
        <w:t>car sizes</w:t>
      </w:r>
    </w:p>
    <w:p w14:paraId="56207B8E" w14:textId="171AA6F1" w:rsidR="00B34136" w:rsidRDefault="00B34136">
      <w:pPr>
        <w:pStyle w:val="DHHSbodynumbered"/>
      </w:pPr>
      <w:r w:rsidRPr="0071660A">
        <w:t xml:space="preserve">The following gives typical equipment </w:t>
      </w:r>
      <w:r w:rsidR="00A526AB">
        <w:t>and</w:t>
      </w:r>
      <w:r w:rsidR="00A526AB" w:rsidRPr="0071660A">
        <w:t xml:space="preserve"> </w:t>
      </w:r>
      <w:r w:rsidRPr="0071660A">
        <w:t>bed sizes and associated minimum lift dimensions.</w:t>
      </w:r>
    </w:p>
    <w:p w14:paraId="3D8FB64F" w14:textId="038ABA13" w:rsidR="006F0984" w:rsidRDefault="006F0984" w:rsidP="004657F7">
      <w:pPr>
        <w:pStyle w:val="DHHStablecaption"/>
      </w:pPr>
      <w:r>
        <w:t xml:space="preserve">Table </w:t>
      </w:r>
      <w:fldSimple w:instr=" SEQ Table \* ARABIC ">
        <w:r w:rsidR="00FA51EE">
          <w:rPr>
            <w:noProof/>
          </w:rPr>
          <w:t>1</w:t>
        </w:r>
      </w:fldSimple>
      <w:r>
        <w:t>: Minimum lift dimensions</w:t>
      </w:r>
    </w:p>
    <w:tbl>
      <w:tblPr>
        <w:tblStyle w:val="TableGrid"/>
        <w:tblW w:w="0" w:type="auto"/>
        <w:tblLook w:val="04A0" w:firstRow="1" w:lastRow="0" w:firstColumn="1" w:lastColumn="0" w:noHBand="0" w:noVBand="1"/>
      </w:tblPr>
      <w:tblGrid>
        <w:gridCol w:w="3064"/>
        <w:gridCol w:w="3057"/>
        <w:gridCol w:w="3059"/>
      </w:tblGrid>
      <w:tr w:rsidR="00B052CD" w14:paraId="78CE86EF" w14:textId="77777777" w:rsidTr="00B052CD">
        <w:trPr>
          <w:cnfStyle w:val="100000000000" w:firstRow="1" w:lastRow="0" w:firstColumn="0" w:lastColumn="0" w:oddVBand="0" w:evenVBand="0" w:oddHBand="0" w:evenHBand="0" w:firstRowFirstColumn="0" w:firstRowLastColumn="0" w:lastRowFirstColumn="0" w:lastRowLastColumn="0"/>
        </w:trPr>
        <w:tc>
          <w:tcPr>
            <w:tcW w:w="3064" w:type="dxa"/>
          </w:tcPr>
          <w:p w14:paraId="54BBB52E" w14:textId="37B0431B" w:rsidR="00B052CD" w:rsidRDefault="00B052CD" w:rsidP="004657F7">
            <w:pPr>
              <w:pStyle w:val="DHHStablecolhead"/>
            </w:pPr>
            <w:r>
              <w:t>Bed or equipment</w:t>
            </w:r>
          </w:p>
        </w:tc>
        <w:tc>
          <w:tcPr>
            <w:tcW w:w="3057" w:type="dxa"/>
          </w:tcPr>
          <w:p w14:paraId="40227BE1" w14:textId="296295DE" w:rsidR="00B052CD" w:rsidRDefault="00B052CD" w:rsidP="004657F7">
            <w:pPr>
              <w:pStyle w:val="DHHStablecolhead"/>
            </w:pPr>
            <w:r>
              <w:t>Width</w:t>
            </w:r>
            <w:r w:rsidR="006F0984">
              <w:t xml:space="preserve"> (mm)</w:t>
            </w:r>
          </w:p>
        </w:tc>
        <w:tc>
          <w:tcPr>
            <w:tcW w:w="3059" w:type="dxa"/>
          </w:tcPr>
          <w:p w14:paraId="05F73C3C" w14:textId="10DC2539" w:rsidR="00B052CD" w:rsidRDefault="00B052CD" w:rsidP="004657F7">
            <w:pPr>
              <w:pStyle w:val="DHHStablecolhead"/>
            </w:pPr>
            <w:r>
              <w:t>Length</w:t>
            </w:r>
            <w:r w:rsidR="006F0984">
              <w:t xml:space="preserve"> (mm)</w:t>
            </w:r>
          </w:p>
        </w:tc>
      </w:tr>
      <w:tr w:rsidR="00B052CD" w14:paraId="7662AF56" w14:textId="77777777" w:rsidTr="00B052CD">
        <w:tc>
          <w:tcPr>
            <w:tcW w:w="3064" w:type="dxa"/>
          </w:tcPr>
          <w:p w14:paraId="261B876C" w14:textId="210F860C" w:rsidR="00B052CD" w:rsidRDefault="00B052CD" w:rsidP="004657F7">
            <w:pPr>
              <w:pStyle w:val="DHHStabletext"/>
            </w:pPr>
            <w:r w:rsidRPr="004479F2">
              <w:t>Critical care bed</w:t>
            </w:r>
          </w:p>
        </w:tc>
        <w:tc>
          <w:tcPr>
            <w:tcW w:w="3057" w:type="dxa"/>
          </w:tcPr>
          <w:p w14:paraId="0926F2CF" w14:textId="7BBE7AC4" w:rsidR="00B052CD" w:rsidRDefault="00B052CD" w:rsidP="004657F7">
            <w:pPr>
              <w:pStyle w:val="DHHStabletext"/>
            </w:pPr>
            <w:r w:rsidRPr="004479F2">
              <w:t>1100</w:t>
            </w:r>
          </w:p>
        </w:tc>
        <w:tc>
          <w:tcPr>
            <w:tcW w:w="3059" w:type="dxa"/>
          </w:tcPr>
          <w:p w14:paraId="363DA7FF" w14:textId="5578BA52" w:rsidR="00B052CD" w:rsidRDefault="00B052CD" w:rsidP="004657F7">
            <w:pPr>
              <w:pStyle w:val="DHHStabletext"/>
            </w:pPr>
            <w:r w:rsidRPr="004479F2">
              <w:t>2400</w:t>
            </w:r>
          </w:p>
        </w:tc>
      </w:tr>
      <w:tr w:rsidR="00B052CD" w14:paraId="5208B518" w14:textId="77777777" w:rsidTr="00B052CD">
        <w:tc>
          <w:tcPr>
            <w:tcW w:w="3064" w:type="dxa"/>
          </w:tcPr>
          <w:p w14:paraId="339AB9EC" w14:textId="531F76C9" w:rsidR="00B052CD" w:rsidRPr="004479F2" w:rsidRDefault="00B052CD" w:rsidP="007C161D">
            <w:pPr>
              <w:pStyle w:val="DHHStabletext"/>
            </w:pPr>
            <w:r w:rsidRPr="004479F2">
              <w:t>Standard bed</w:t>
            </w:r>
          </w:p>
        </w:tc>
        <w:tc>
          <w:tcPr>
            <w:tcW w:w="3057" w:type="dxa"/>
          </w:tcPr>
          <w:p w14:paraId="51DB5AE4" w14:textId="44C08CA0" w:rsidR="00B052CD" w:rsidRPr="004479F2" w:rsidRDefault="00B052CD">
            <w:pPr>
              <w:pStyle w:val="DHHStabletext"/>
            </w:pPr>
            <w:r w:rsidRPr="004479F2">
              <w:t>1080</w:t>
            </w:r>
          </w:p>
        </w:tc>
        <w:tc>
          <w:tcPr>
            <w:tcW w:w="3059" w:type="dxa"/>
          </w:tcPr>
          <w:p w14:paraId="673AB398" w14:textId="29DFBF2D" w:rsidR="00B052CD" w:rsidRPr="004479F2" w:rsidRDefault="00B052CD">
            <w:pPr>
              <w:pStyle w:val="DHHStabletext"/>
            </w:pPr>
            <w:r w:rsidRPr="004479F2">
              <w:t>2370</w:t>
            </w:r>
          </w:p>
        </w:tc>
      </w:tr>
      <w:tr w:rsidR="00B052CD" w14:paraId="6084F50E" w14:textId="77777777" w:rsidTr="00B052CD">
        <w:tc>
          <w:tcPr>
            <w:tcW w:w="3064" w:type="dxa"/>
          </w:tcPr>
          <w:p w14:paraId="33AA2042" w14:textId="477C5AAE" w:rsidR="00B052CD" w:rsidRPr="004479F2" w:rsidRDefault="00B052CD" w:rsidP="007C161D">
            <w:pPr>
              <w:pStyle w:val="DHHStabletext"/>
            </w:pPr>
            <w:r w:rsidRPr="004479F2">
              <w:t>Bariatric bed</w:t>
            </w:r>
          </w:p>
        </w:tc>
        <w:tc>
          <w:tcPr>
            <w:tcW w:w="3057" w:type="dxa"/>
          </w:tcPr>
          <w:p w14:paraId="20A44EAF" w14:textId="67FA0CCA" w:rsidR="00B052CD" w:rsidRPr="004479F2" w:rsidRDefault="00B052CD">
            <w:pPr>
              <w:pStyle w:val="DHHStabletext"/>
            </w:pPr>
            <w:r w:rsidRPr="004479F2">
              <w:t>1370</w:t>
            </w:r>
          </w:p>
        </w:tc>
        <w:tc>
          <w:tcPr>
            <w:tcW w:w="3059" w:type="dxa"/>
          </w:tcPr>
          <w:p w14:paraId="5A6B46B8" w14:textId="7EC98063" w:rsidR="00B052CD" w:rsidRPr="004479F2" w:rsidRDefault="00B052CD">
            <w:pPr>
              <w:pStyle w:val="DHHStabletext"/>
            </w:pPr>
            <w:r w:rsidRPr="004479F2">
              <w:t>2540</w:t>
            </w:r>
          </w:p>
        </w:tc>
      </w:tr>
      <w:tr w:rsidR="00B052CD" w14:paraId="2E9DBEC2" w14:textId="77777777" w:rsidTr="00B052CD">
        <w:tc>
          <w:tcPr>
            <w:tcW w:w="3064" w:type="dxa"/>
          </w:tcPr>
          <w:p w14:paraId="46A64D96" w14:textId="60F612FE" w:rsidR="00B052CD" w:rsidRPr="004479F2" w:rsidRDefault="00B052CD" w:rsidP="007C161D">
            <w:pPr>
              <w:pStyle w:val="DHHStabletext"/>
            </w:pPr>
            <w:r w:rsidRPr="004479F2">
              <w:t>Ambulance stretcher</w:t>
            </w:r>
          </w:p>
        </w:tc>
        <w:tc>
          <w:tcPr>
            <w:tcW w:w="3057" w:type="dxa"/>
          </w:tcPr>
          <w:p w14:paraId="74FB3D85" w14:textId="02708B21" w:rsidR="00B052CD" w:rsidRPr="004479F2" w:rsidRDefault="00B052CD">
            <w:pPr>
              <w:pStyle w:val="DHHStabletext"/>
            </w:pPr>
            <w:r w:rsidRPr="004479F2">
              <w:t>750</w:t>
            </w:r>
          </w:p>
        </w:tc>
        <w:tc>
          <w:tcPr>
            <w:tcW w:w="3059" w:type="dxa"/>
          </w:tcPr>
          <w:p w14:paraId="657402D6" w14:textId="329623B7" w:rsidR="00B052CD" w:rsidRPr="004479F2" w:rsidRDefault="00B052CD">
            <w:pPr>
              <w:pStyle w:val="DHHStabletext"/>
            </w:pPr>
            <w:r w:rsidRPr="004479F2">
              <w:t>2200</w:t>
            </w:r>
          </w:p>
        </w:tc>
      </w:tr>
      <w:tr w:rsidR="00B052CD" w14:paraId="04075F38" w14:textId="77777777" w:rsidTr="00B052CD">
        <w:tc>
          <w:tcPr>
            <w:tcW w:w="3064" w:type="dxa"/>
          </w:tcPr>
          <w:p w14:paraId="441C8798" w14:textId="29DC90B5" w:rsidR="00B052CD" w:rsidRPr="004479F2" w:rsidRDefault="00B052CD" w:rsidP="007C161D">
            <w:pPr>
              <w:pStyle w:val="DHHStabletext"/>
            </w:pPr>
            <w:r w:rsidRPr="004479F2">
              <w:t>+ electric bed tug</w:t>
            </w:r>
          </w:p>
        </w:tc>
        <w:tc>
          <w:tcPr>
            <w:tcW w:w="3057" w:type="dxa"/>
          </w:tcPr>
          <w:p w14:paraId="158AAC5C" w14:textId="77777777" w:rsidR="00B052CD" w:rsidRPr="004479F2" w:rsidRDefault="00B052CD">
            <w:pPr>
              <w:pStyle w:val="DHHStabletext"/>
            </w:pPr>
          </w:p>
        </w:tc>
        <w:tc>
          <w:tcPr>
            <w:tcW w:w="3059" w:type="dxa"/>
          </w:tcPr>
          <w:p w14:paraId="04030C9C" w14:textId="0DA82D6C" w:rsidR="00B052CD" w:rsidRPr="004479F2" w:rsidRDefault="00B052CD">
            <w:pPr>
              <w:pStyle w:val="DHHStabletext"/>
            </w:pPr>
            <w:r w:rsidRPr="004479F2">
              <w:t>Add 580</w:t>
            </w:r>
          </w:p>
        </w:tc>
      </w:tr>
    </w:tbl>
    <w:p w14:paraId="0140224A" w14:textId="74CD6EB9" w:rsidR="00B34136" w:rsidRPr="0071660A" w:rsidRDefault="00B34136" w:rsidP="004657F7">
      <w:pPr>
        <w:pStyle w:val="DHHSbodynumberedaftertablefigure"/>
      </w:pPr>
      <w:r w:rsidRPr="0071660A">
        <w:t xml:space="preserve">Minimum bed lift size recommended to suit </w:t>
      </w:r>
      <w:r w:rsidR="006F0984" w:rsidRPr="0071660A">
        <w:t xml:space="preserve">a critical care bed </w:t>
      </w:r>
      <w:r w:rsidRPr="0071660A">
        <w:t xml:space="preserve">is 1800 </w:t>
      </w:r>
      <w:r w:rsidR="006F0984">
        <w:t>mm (</w:t>
      </w:r>
      <w:r w:rsidRPr="0071660A">
        <w:t>w</w:t>
      </w:r>
      <w:r w:rsidR="006F0984">
        <w:t>idth)</w:t>
      </w:r>
      <w:r w:rsidRPr="0071660A">
        <w:t xml:space="preserve"> </w:t>
      </w:r>
      <w:r w:rsidR="006F0984">
        <w:t>by</w:t>
      </w:r>
      <w:r w:rsidR="006F0984" w:rsidRPr="0071660A">
        <w:t xml:space="preserve"> </w:t>
      </w:r>
      <w:r w:rsidRPr="0071660A">
        <w:t xml:space="preserve">2700 </w:t>
      </w:r>
      <w:r w:rsidR="006F0984">
        <w:t>mm (</w:t>
      </w:r>
      <w:r w:rsidRPr="0071660A">
        <w:t>d</w:t>
      </w:r>
      <w:r w:rsidR="006F0984">
        <w:t>epth)</w:t>
      </w:r>
      <w:r w:rsidRPr="0071660A">
        <w:t xml:space="preserve">, with a minimum clear entrance </w:t>
      </w:r>
      <w:r w:rsidR="006F0984">
        <w:t xml:space="preserve">width </w:t>
      </w:r>
      <w:r w:rsidRPr="0071660A">
        <w:t xml:space="preserve">of 1400 </w:t>
      </w:r>
      <w:r w:rsidR="006F0984">
        <w:t>mm</w:t>
      </w:r>
      <w:r w:rsidRPr="0071660A">
        <w:t>.</w:t>
      </w:r>
      <w:r w:rsidR="00785D6D">
        <w:t xml:space="preserve"> </w:t>
      </w:r>
    </w:p>
    <w:p w14:paraId="14701560" w14:textId="789E4B18" w:rsidR="00B34136" w:rsidRPr="0071660A" w:rsidRDefault="00B34136">
      <w:pPr>
        <w:pStyle w:val="DHHSbodynumbered"/>
      </w:pPr>
      <w:r w:rsidRPr="0071660A">
        <w:t xml:space="preserve">Public </w:t>
      </w:r>
      <w:r w:rsidR="00A526AB">
        <w:t>and</w:t>
      </w:r>
      <w:r w:rsidR="00A526AB" w:rsidRPr="0071660A">
        <w:t xml:space="preserve"> </w:t>
      </w:r>
      <w:r w:rsidRPr="0071660A">
        <w:t xml:space="preserve">visitor lifts sizes need to consider use by elderly, disabled and users in wheelchairs. A wide </w:t>
      </w:r>
      <w:r w:rsidR="00A526AB">
        <w:t>and</w:t>
      </w:r>
      <w:r w:rsidRPr="0071660A">
        <w:t xml:space="preserve"> </w:t>
      </w:r>
      <w:r>
        <w:t>shallow</w:t>
      </w:r>
      <w:r w:rsidRPr="0071660A">
        <w:t xml:space="preserve"> car shape will be employed to intentionally not accommodate a bed </w:t>
      </w:r>
      <w:r w:rsidR="00785D6D">
        <w:t>and</w:t>
      </w:r>
      <w:r w:rsidRPr="0071660A">
        <w:t xml:space="preserve"> deter staff use of these lifts. </w:t>
      </w:r>
    </w:p>
    <w:p w14:paraId="2AF0C8F6" w14:textId="6BB3D320" w:rsidR="00B34136" w:rsidRPr="0071660A" w:rsidRDefault="00B34136">
      <w:pPr>
        <w:pStyle w:val="DHHSbodynumbered"/>
      </w:pPr>
      <w:r w:rsidRPr="0071660A">
        <w:t>Goods lifts can be provided as single lifts subject to specific needs, with a recommended minimum capacity of 2000kg. Consideration for lift use and equipment to be transported will be taken into consideration.</w:t>
      </w:r>
      <w:r>
        <w:t xml:space="preserve"> In larger facilities consideration will be given to grouping two or more goods lifts together to improve performance and efficiency.</w:t>
      </w:r>
    </w:p>
    <w:p w14:paraId="725A5679" w14:textId="3B343976" w:rsidR="00B34136" w:rsidRPr="0071660A" w:rsidRDefault="00B34136" w:rsidP="004657F7">
      <w:pPr>
        <w:pStyle w:val="Heading3"/>
      </w:pPr>
      <w:r w:rsidRPr="0071660A">
        <w:t xml:space="preserve">Design </w:t>
      </w:r>
      <w:r w:rsidR="00453DD2" w:rsidRPr="0071660A">
        <w:t xml:space="preserve">considerations </w:t>
      </w:r>
    </w:p>
    <w:p w14:paraId="0EB464FF" w14:textId="77777777" w:rsidR="00B34136" w:rsidRDefault="00B34136">
      <w:pPr>
        <w:pStyle w:val="DHHSbodynumbered"/>
      </w:pPr>
      <w:r>
        <w:t xml:space="preserve">Lifts will be located to limit transfer distances from any point on a floor plate typically less than 50m where practicable for all traffic types. </w:t>
      </w:r>
    </w:p>
    <w:p w14:paraId="39933E43" w14:textId="6CB752C1" w:rsidR="00B34136" w:rsidRPr="0071660A" w:rsidRDefault="00B34136">
      <w:pPr>
        <w:pStyle w:val="DHHSbodynumbered"/>
      </w:pPr>
      <w:r w:rsidRPr="0071660A">
        <w:t>Where there is a requirement for high cross traffic of patients across large floor plates, lift nodes should ideally be within 50</w:t>
      </w:r>
      <w:r w:rsidR="006F0984">
        <w:t xml:space="preserve"> metres</w:t>
      </w:r>
      <w:r w:rsidRPr="0071660A">
        <w:t xml:space="preserve"> travel distance from any point on the floor plate. </w:t>
      </w:r>
    </w:p>
    <w:p w14:paraId="60C86FF2" w14:textId="46E74CB8" w:rsidR="00B34136" w:rsidRPr="0071660A" w:rsidRDefault="00B34136">
      <w:pPr>
        <w:pStyle w:val="DHHSbodynumbered"/>
      </w:pPr>
      <w:r w:rsidRPr="0071660A">
        <w:t>Staff</w:t>
      </w:r>
      <w:r w:rsidR="00A526AB">
        <w:t>,</w:t>
      </w:r>
      <w:r w:rsidR="0053705F" w:rsidRPr="0071660A">
        <w:t xml:space="preserve"> patient </w:t>
      </w:r>
      <w:r w:rsidR="00785D6D">
        <w:t>and</w:t>
      </w:r>
      <w:r w:rsidR="0053705F" w:rsidRPr="0071660A">
        <w:t xml:space="preserve"> public </w:t>
      </w:r>
      <w:r w:rsidRPr="0071660A">
        <w:t>lifts to be separated where possible. This is essential for larger developments but may not be practical for low rise</w:t>
      </w:r>
      <w:r>
        <w:t xml:space="preserve"> or smaller developments</w:t>
      </w:r>
      <w:r w:rsidRPr="0071660A">
        <w:t xml:space="preserve">. </w:t>
      </w:r>
    </w:p>
    <w:p w14:paraId="047B8E6E" w14:textId="77777777" w:rsidR="00B34136" w:rsidRPr="0071660A" w:rsidRDefault="00B34136">
      <w:pPr>
        <w:pStyle w:val="DHHSbodynumbered"/>
      </w:pPr>
      <w:r w:rsidRPr="0071660A">
        <w:t>Where the lifts provide access for critical services, redundancy should be provided by grouping at least two lifts together. The result of an impact assessment to determine the consequences of the failure of a single lift will aid in the decision for redundancy in other areas.</w:t>
      </w:r>
    </w:p>
    <w:p w14:paraId="1313BA93" w14:textId="0F233351" w:rsidR="00B34136" w:rsidRPr="0071660A" w:rsidRDefault="00B34136" w:rsidP="004657F7">
      <w:pPr>
        <w:pStyle w:val="Heading3"/>
      </w:pPr>
      <w:r w:rsidRPr="0071660A">
        <w:lastRenderedPageBreak/>
        <w:t xml:space="preserve">Emergency </w:t>
      </w:r>
      <w:r w:rsidR="00453DD2" w:rsidRPr="0071660A">
        <w:t xml:space="preserve">power </w:t>
      </w:r>
    </w:p>
    <w:p w14:paraId="76E95E1C" w14:textId="327701F1" w:rsidR="00B34136" w:rsidRPr="0071660A" w:rsidRDefault="00B34136">
      <w:pPr>
        <w:pStyle w:val="DHHSbodynumbered"/>
      </w:pPr>
      <w:r w:rsidRPr="0071660A">
        <w:t>Consideration should be made for lifts in the event of loss of power. Typical methods used to ensure power to the lifts is maintained include:</w:t>
      </w:r>
      <w:r w:rsidR="00785D6D">
        <w:t xml:space="preserve"> </w:t>
      </w:r>
    </w:p>
    <w:p w14:paraId="71CC47AA" w14:textId="1A923EE3" w:rsidR="00B34136" w:rsidRPr="0071660A" w:rsidRDefault="0053705F">
      <w:pPr>
        <w:pStyle w:val="DHHSbullet1indent"/>
      </w:pPr>
      <w:r w:rsidRPr="0071660A">
        <w:t>emergency generator power (base building)</w:t>
      </w:r>
    </w:p>
    <w:p w14:paraId="44E62963" w14:textId="35202EB7" w:rsidR="00B34136" w:rsidRPr="0071660A" w:rsidRDefault="0053705F">
      <w:pPr>
        <w:pStyle w:val="DHHSbullet1indent"/>
      </w:pPr>
      <w:r w:rsidRPr="0071660A">
        <w:t xml:space="preserve">emergency rescue </w:t>
      </w:r>
      <w:r w:rsidR="00B34136" w:rsidRPr="0071660A">
        <w:t xml:space="preserve">system (incorporated in the lift design). </w:t>
      </w:r>
    </w:p>
    <w:p w14:paraId="4CCE92B5" w14:textId="7783571D" w:rsidR="00B34136" w:rsidRDefault="00B34136" w:rsidP="004657F7">
      <w:pPr>
        <w:pStyle w:val="DHHSbodynumberedafterbullets"/>
      </w:pPr>
      <w:r w:rsidRPr="0071660A">
        <w:t>Coordination with the lift supplier and electrical design engineer is required to select the most appropriate method of emergency power supply.</w:t>
      </w:r>
    </w:p>
    <w:p w14:paraId="2BDEF821" w14:textId="77777777" w:rsidR="00B34136" w:rsidRPr="00BE66F8" w:rsidRDefault="00B34136" w:rsidP="004657F7">
      <w:pPr>
        <w:pStyle w:val="Heading3"/>
      </w:pPr>
      <w:r w:rsidRPr="00BE66F8">
        <w:t xml:space="preserve">Priority </w:t>
      </w:r>
      <w:r w:rsidRPr="0071660A">
        <w:t>control</w:t>
      </w:r>
      <w:r w:rsidRPr="00BE66F8">
        <w:t xml:space="preserve"> </w:t>
      </w:r>
    </w:p>
    <w:p w14:paraId="23E1E3AE" w14:textId="04B1ECC6" w:rsidR="00B34136" w:rsidRPr="00C7334D" w:rsidRDefault="00B34136">
      <w:pPr>
        <w:pStyle w:val="DHHSbodynumbered"/>
      </w:pPr>
      <w:r w:rsidRPr="00C7334D">
        <w:t xml:space="preserve">In emergency situations lifts may be required to cease normal operation and operate in an exclusive manner to provide priority functions for hospital staff. Planning of these operations with all relevant stakeholders is essential to determine: </w:t>
      </w:r>
    </w:p>
    <w:p w14:paraId="2BE84DF3" w14:textId="60DE6E22" w:rsidR="00B34136" w:rsidRPr="00C7334D" w:rsidRDefault="0053705F">
      <w:pPr>
        <w:pStyle w:val="DHHSbullet1indent"/>
      </w:pPr>
      <w:r w:rsidRPr="00C7334D">
        <w:t xml:space="preserve">selection of the lifts </w:t>
      </w:r>
    </w:p>
    <w:p w14:paraId="0A031E8D" w14:textId="720095BD" w:rsidR="00B34136" w:rsidRPr="00C7334D" w:rsidRDefault="0053705F">
      <w:pPr>
        <w:pStyle w:val="DHHSbullet1indent"/>
      </w:pPr>
      <w:r w:rsidRPr="00C7334D">
        <w:t xml:space="preserve">method of activation </w:t>
      </w:r>
    </w:p>
    <w:p w14:paraId="34B7AE56" w14:textId="290D4675" w:rsidR="00B34136" w:rsidRPr="00C7334D" w:rsidRDefault="0053705F">
      <w:pPr>
        <w:pStyle w:val="DHHSbullet1indent"/>
      </w:pPr>
      <w:r w:rsidRPr="00C7334D">
        <w:t xml:space="preserve">audio and visual communication within the lift </w:t>
      </w:r>
    </w:p>
    <w:p w14:paraId="05A7EC0B" w14:textId="37540DF7" w:rsidR="00B34136" w:rsidRPr="00C7334D" w:rsidRDefault="0053705F">
      <w:pPr>
        <w:pStyle w:val="DHHSbullet1indent"/>
      </w:pPr>
      <w:r w:rsidRPr="00C7334D">
        <w:t xml:space="preserve">audio and visual communication on the landing </w:t>
      </w:r>
    </w:p>
    <w:p w14:paraId="16170A76" w14:textId="35828A2B" w:rsidR="00B34136" w:rsidRPr="00C7334D" w:rsidRDefault="0053705F">
      <w:pPr>
        <w:pStyle w:val="DHHSbullet1indent"/>
      </w:pPr>
      <w:r w:rsidRPr="00C7334D">
        <w:t>operation within the lift car</w:t>
      </w:r>
    </w:p>
    <w:p w14:paraId="0CF907A5" w14:textId="242DC160" w:rsidR="00B34136" w:rsidRDefault="0053705F">
      <w:pPr>
        <w:pStyle w:val="DHHSbullet1indent"/>
      </w:pPr>
      <w:r w:rsidRPr="00C7334D">
        <w:t xml:space="preserve">operation of other lifts </w:t>
      </w:r>
      <w:r w:rsidR="00B34136" w:rsidRPr="00C7334D">
        <w:t>not used in the priority control mode.</w:t>
      </w:r>
    </w:p>
    <w:p w14:paraId="47502128" w14:textId="77777777" w:rsidR="00B34136" w:rsidRDefault="00B34136" w:rsidP="004657F7">
      <w:pPr>
        <w:pStyle w:val="DHHSbodynumberedafterbullets"/>
      </w:pPr>
      <w:r w:rsidRPr="00C7334D">
        <w:t>When planning for the use of priority control designers should endeavour to limit the usage of the function to only the highest levels of need. Overuse of priority control will severely degrade the capacity of the lift group to handle other vertical transport needs.</w:t>
      </w:r>
    </w:p>
    <w:p w14:paraId="6814DA3D" w14:textId="77777777" w:rsidR="00B34136" w:rsidRDefault="00B34136" w:rsidP="004657F7">
      <w:pPr>
        <w:pStyle w:val="Heading3"/>
      </w:pPr>
      <w:r w:rsidRPr="0071660A">
        <w:t>Materials</w:t>
      </w:r>
    </w:p>
    <w:p w14:paraId="030546C8" w14:textId="77777777" w:rsidR="00B34136" w:rsidRPr="00C7334D" w:rsidRDefault="00B34136">
      <w:pPr>
        <w:pStyle w:val="DHHSbodynumbered"/>
      </w:pPr>
      <w:r w:rsidRPr="00C7334D">
        <w:t xml:space="preserve">Vertical transport systems within health facilities will be designed with finishes that provide the following attributes: </w:t>
      </w:r>
    </w:p>
    <w:p w14:paraId="7C791A5A" w14:textId="1B23298A" w:rsidR="00B34136" w:rsidRPr="00C7334D" w:rsidRDefault="0053705F">
      <w:pPr>
        <w:pStyle w:val="DHHSbullet1indent"/>
      </w:pPr>
      <w:r w:rsidRPr="00C7334D">
        <w:t xml:space="preserve">robustness </w:t>
      </w:r>
    </w:p>
    <w:p w14:paraId="4CF4FBA3" w14:textId="4B86763B" w:rsidR="00B34136" w:rsidRPr="00C7334D" w:rsidRDefault="0053705F">
      <w:pPr>
        <w:pStyle w:val="DHHSbullet1indent"/>
      </w:pPr>
      <w:r w:rsidRPr="00C7334D">
        <w:t xml:space="preserve">corrosion resistance </w:t>
      </w:r>
    </w:p>
    <w:p w14:paraId="6D66803E" w14:textId="492B1CDB" w:rsidR="00B34136" w:rsidRPr="00C7334D" w:rsidRDefault="0053705F">
      <w:pPr>
        <w:pStyle w:val="DHHSbullet1indent"/>
      </w:pPr>
      <w:r w:rsidRPr="00C7334D">
        <w:t xml:space="preserve">vandal resistance </w:t>
      </w:r>
    </w:p>
    <w:p w14:paraId="1052B72C" w14:textId="6CE4FDD3" w:rsidR="00B34136" w:rsidRPr="00C7334D" w:rsidRDefault="0053705F">
      <w:pPr>
        <w:pStyle w:val="DHHSbullet1indent"/>
      </w:pPr>
      <w:r w:rsidRPr="00C7334D">
        <w:t>infection control</w:t>
      </w:r>
    </w:p>
    <w:p w14:paraId="5049D525" w14:textId="6B568F22" w:rsidR="00B34136" w:rsidRPr="00C7334D" w:rsidRDefault="0053705F">
      <w:pPr>
        <w:pStyle w:val="DHHSbullet1indent"/>
      </w:pPr>
      <w:r w:rsidRPr="00C7334D">
        <w:t xml:space="preserve">ease of </w:t>
      </w:r>
      <w:r w:rsidR="00B34136" w:rsidRPr="00C7334D">
        <w:t xml:space="preserve">cleaning. </w:t>
      </w:r>
    </w:p>
    <w:p w14:paraId="3B82D531" w14:textId="38D51783" w:rsidR="00B34136" w:rsidRDefault="00B34136" w:rsidP="004657F7">
      <w:pPr>
        <w:pStyle w:val="DHHSbodynumberedafterbullets"/>
      </w:pPr>
      <w:r w:rsidRPr="00C7334D">
        <w:t>Consideration will be made in the joining detail of finishes to reduce gaps and areas where cleaning will be hindered.</w:t>
      </w:r>
    </w:p>
    <w:p w14:paraId="2C59B3A6" w14:textId="0FB9134A" w:rsidR="00B34136" w:rsidRPr="0071660A" w:rsidRDefault="00B34136" w:rsidP="004657F7">
      <w:pPr>
        <w:pStyle w:val="DHHSbodynumbered"/>
      </w:pPr>
      <w:r w:rsidRPr="0071660A">
        <w:t xml:space="preserve">Drive </w:t>
      </w:r>
      <w:r w:rsidR="00453DD2" w:rsidRPr="0071660A">
        <w:t>systems</w:t>
      </w:r>
    </w:p>
    <w:p w14:paraId="084DB35C" w14:textId="77777777" w:rsidR="00B34136" w:rsidRPr="0071660A" w:rsidRDefault="00B34136">
      <w:pPr>
        <w:pStyle w:val="DHHSbodynumbered"/>
      </w:pPr>
      <w:r w:rsidRPr="0071660A">
        <w:t>Electric traction drives will use variable-voltage, variable-frequency (VVVF) technology and the drive will be regenerative.</w:t>
      </w:r>
    </w:p>
    <w:p w14:paraId="27E691E9" w14:textId="5EAD5737" w:rsidR="00B34136" w:rsidRPr="0071660A" w:rsidRDefault="00B34136">
      <w:pPr>
        <w:pStyle w:val="DHHSbodynumbered"/>
      </w:pPr>
      <w:r w:rsidRPr="0071660A">
        <w:t>Hydraulic drives are only to be considered for low rise (</w:t>
      </w:r>
      <w:r w:rsidR="006F0984">
        <w:t xml:space="preserve">less than </w:t>
      </w:r>
      <w:r w:rsidRPr="0071660A">
        <w:t>18</w:t>
      </w:r>
      <w:r w:rsidR="006F0984">
        <w:t xml:space="preserve"> metres</w:t>
      </w:r>
      <w:r w:rsidRPr="0071660A">
        <w:t xml:space="preserve"> of travel). Hydraulic lifts are nor recommended when:</w:t>
      </w:r>
    </w:p>
    <w:p w14:paraId="5378680B" w14:textId="4CC2B866" w:rsidR="00B34136" w:rsidRPr="0071660A" w:rsidRDefault="006F0984">
      <w:pPr>
        <w:pStyle w:val="DHHSbullet1indent"/>
      </w:pPr>
      <w:r w:rsidRPr="0071660A">
        <w:t xml:space="preserve">use </w:t>
      </w:r>
      <w:r w:rsidR="00B34136" w:rsidRPr="0071660A">
        <w:t>is greater than 45 up-starts per hour</w:t>
      </w:r>
    </w:p>
    <w:p w14:paraId="4D3C4403" w14:textId="68952E6A" w:rsidR="00B34136" w:rsidRPr="0071660A" w:rsidRDefault="006F0984">
      <w:pPr>
        <w:pStyle w:val="DHHSbullet1indent"/>
      </w:pPr>
      <w:r w:rsidRPr="0071660A">
        <w:t xml:space="preserve">the </w:t>
      </w:r>
      <w:r w:rsidR="00B34136" w:rsidRPr="0071660A">
        <w:t>speed exceeds 0.8m/s</w:t>
      </w:r>
    </w:p>
    <w:p w14:paraId="1C0A1503" w14:textId="7DF32E5E" w:rsidR="00B34136" w:rsidRPr="0071660A" w:rsidRDefault="00B34136" w:rsidP="004657F7">
      <w:pPr>
        <w:pStyle w:val="Heading3"/>
      </w:pPr>
      <w:r w:rsidRPr="0071660A">
        <w:t xml:space="preserve">Machine-room-less </w:t>
      </w:r>
      <w:r w:rsidR="006F0984">
        <w:t xml:space="preserve">(MRL) </w:t>
      </w:r>
      <w:r w:rsidRPr="0071660A">
        <w:t>lifts</w:t>
      </w:r>
    </w:p>
    <w:p w14:paraId="49D4D979" w14:textId="77777777" w:rsidR="00B34136" w:rsidRDefault="00B34136">
      <w:pPr>
        <w:pStyle w:val="DHHSbodynumbered"/>
      </w:pPr>
      <w:r>
        <w:t>The design will take into account the potential impact on hospital operations caused by the maintenance access required for MRL lifts.</w:t>
      </w:r>
    </w:p>
    <w:p w14:paraId="05A7D871" w14:textId="77777777" w:rsidR="00B34136" w:rsidRPr="0071660A" w:rsidRDefault="00B34136">
      <w:pPr>
        <w:pStyle w:val="DHHSbodynumbered"/>
      </w:pPr>
      <w:r w:rsidRPr="0071660A">
        <w:lastRenderedPageBreak/>
        <w:t>The controller cabinets can be located at the top or bottom landings in a small machinery space.</w:t>
      </w:r>
    </w:p>
    <w:p w14:paraId="13272698" w14:textId="77777777" w:rsidR="00B34136" w:rsidRPr="0071660A" w:rsidRDefault="00B34136">
      <w:pPr>
        <w:pStyle w:val="DHHSbodynumbered"/>
      </w:pPr>
      <w:r w:rsidRPr="0071660A">
        <w:t>The designer will consider the following:</w:t>
      </w:r>
    </w:p>
    <w:p w14:paraId="600049E4" w14:textId="3AF7BA17" w:rsidR="00B34136" w:rsidRPr="0071660A" w:rsidRDefault="00B34136" w:rsidP="00497C6B">
      <w:pPr>
        <w:pStyle w:val="DHHSbullet1indent"/>
      </w:pPr>
      <w:r w:rsidRPr="0071660A">
        <w:t>access to the equipment in the well must be carefully managed</w:t>
      </w:r>
    </w:p>
    <w:p w14:paraId="061FA445" w14:textId="4CAAC76A" w:rsidR="00B34136" w:rsidRPr="0071660A" w:rsidRDefault="00B34136" w:rsidP="00497C6B">
      <w:pPr>
        <w:pStyle w:val="DHHSbullet1indent"/>
      </w:pPr>
      <w:r w:rsidRPr="0071660A">
        <w:t>there is less control of the working environment at locations where controller cabinets are installed, often on landings</w:t>
      </w:r>
    </w:p>
    <w:p w14:paraId="06EDA8E3" w14:textId="77777777" w:rsidR="00B34136" w:rsidRPr="0071660A" w:rsidRDefault="00B34136" w:rsidP="00497C6B">
      <w:pPr>
        <w:pStyle w:val="DHHSbullet1indent"/>
      </w:pPr>
      <w:r w:rsidRPr="0071660A">
        <w:t>additional facilities are required to rescue trapped passengers.</w:t>
      </w:r>
    </w:p>
    <w:p w14:paraId="6674BA52" w14:textId="7546D291" w:rsidR="00B34136" w:rsidRDefault="00B34136" w:rsidP="004657F7">
      <w:pPr>
        <w:pStyle w:val="DHHSbodynumberedafterbullets"/>
      </w:pPr>
      <w:r w:rsidRPr="0071660A">
        <w:t>Machinery cabinets will be fitted with appropriate fire protection</w:t>
      </w:r>
      <w:r w:rsidR="006F0984">
        <w:t>,</w:t>
      </w:r>
      <w:r w:rsidRPr="0071660A">
        <w:t xml:space="preserve"> such as smoke detectors connected to the main fire panel, incorporating audio-visual-warning devices.</w:t>
      </w:r>
    </w:p>
    <w:p w14:paraId="6A7EF2E1" w14:textId="77777777" w:rsidR="007C161D" w:rsidRDefault="007C161D">
      <w:pPr>
        <w:rPr>
          <w:rFonts w:ascii="Arial" w:eastAsia="Calibri" w:hAnsi="Arial"/>
          <w:bCs/>
          <w:color w:val="0074BC" w:themeColor="text2"/>
          <w:sz w:val="44"/>
          <w:szCs w:val="44"/>
        </w:rPr>
      </w:pPr>
      <w:bookmarkStart w:id="43" w:name="_Toc22890843"/>
      <w:bookmarkStart w:id="44" w:name="_Toc29400811"/>
      <w:r>
        <w:rPr>
          <w:rFonts w:eastAsia="Calibri"/>
        </w:rPr>
        <w:br w:type="page"/>
      </w:r>
    </w:p>
    <w:p w14:paraId="271CBBED" w14:textId="146F3F07" w:rsidR="00B34136" w:rsidRPr="0071660A" w:rsidRDefault="00B34136" w:rsidP="004657F7">
      <w:pPr>
        <w:pStyle w:val="Heading1"/>
        <w:rPr>
          <w:rFonts w:eastAsia="Calibri"/>
        </w:rPr>
      </w:pPr>
      <w:bookmarkStart w:id="45" w:name="_Toc42621644"/>
      <w:r w:rsidRPr="0071660A">
        <w:rPr>
          <w:rFonts w:eastAsia="Calibri"/>
        </w:rPr>
        <w:lastRenderedPageBreak/>
        <w:t xml:space="preserve">Pneumatic </w:t>
      </w:r>
      <w:r w:rsidR="00453DD2" w:rsidRPr="0071660A">
        <w:rPr>
          <w:rFonts w:eastAsia="Calibri"/>
        </w:rPr>
        <w:t>tube</w:t>
      </w:r>
      <w:bookmarkEnd w:id="43"/>
      <w:bookmarkEnd w:id="44"/>
      <w:bookmarkEnd w:id="45"/>
    </w:p>
    <w:p w14:paraId="1462284D" w14:textId="77777777" w:rsidR="00B34136" w:rsidRPr="0071660A" w:rsidRDefault="00B34136" w:rsidP="004657F7">
      <w:pPr>
        <w:pStyle w:val="Heading2"/>
      </w:pPr>
      <w:bookmarkStart w:id="46" w:name="_Toc22890844"/>
      <w:bookmarkStart w:id="47" w:name="_Toc29400812"/>
      <w:bookmarkStart w:id="48" w:name="_Toc42621645"/>
      <w:r w:rsidRPr="0071660A">
        <w:t>Introduction</w:t>
      </w:r>
      <w:bookmarkEnd w:id="46"/>
      <w:bookmarkEnd w:id="47"/>
      <w:bookmarkEnd w:id="48"/>
    </w:p>
    <w:p w14:paraId="14B0C41A" w14:textId="77777777" w:rsidR="00B34136" w:rsidRPr="0071660A" w:rsidRDefault="00B34136">
      <w:pPr>
        <w:pStyle w:val="DHHSbodynumbered"/>
      </w:pPr>
      <w:r w:rsidRPr="0071660A">
        <w:t xml:space="preserve">Pneumatic tube systems are used within hospitals to transport specimens between inpatient units, operating theatres and pathology labs. These systems reduce the manpower and the time taken to get samples to pathology and results back to the medical staff and hence they enhance patient care. </w:t>
      </w:r>
    </w:p>
    <w:p w14:paraId="5C5FE0C7" w14:textId="501DB290" w:rsidR="00B34136" w:rsidRPr="0071660A" w:rsidRDefault="00B34136">
      <w:pPr>
        <w:pStyle w:val="DHHSbodynumbered"/>
      </w:pPr>
      <w:r w:rsidRPr="0071660A">
        <w:t xml:space="preserve">Departments </w:t>
      </w:r>
      <w:r w:rsidR="006F0984">
        <w:t>that</w:t>
      </w:r>
      <w:r w:rsidR="006F0984" w:rsidRPr="0071660A">
        <w:t xml:space="preserve"> </w:t>
      </w:r>
      <w:r w:rsidRPr="0071660A">
        <w:t>commonly use the system are:</w:t>
      </w:r>
    </w:p>
    <w:p w14:paraId="653F0922" w14:textId="0D6A8C85" w:rsidR="00B34136" w:rsidRPr="0071660A" w:rsidRDefault="0053705F">
      <w:pPr>
        <w:pStyle w:val="DHHSbullet1indent"/>
      </w:pPr>
      <w:r w:rsidRPr="0071660A">
        <w:t xml:space="preserve">operating theatres </w:t>
      </w:r>
    </w:p>
    <w:p w14:paraId="3E4E4B32" w14:textId="4D62E437" w:rsidR="00B34136" w:rsidRPr="0071660A" w:rsidRDefault="0053705F">
      <w:pPr>
        <w:pStyle w:val="DHHSbullet1indent"/>
      </w:pPr>
      <w:r w:rsidRPr="0071660A">
        <w:t xml:space="preserve">inpatient units </w:t>
      </w:r>
    </w:p>
    <w:p w14:paraId="5CA7A1F1" w14:textId="761E731A" w:rsidR="00B34136" w:rsidRPr="0071660A" w:rsidRDefault="0053705F">
      <w:pPr>
        <w:pStyle w:val="DHHSbullet1indent"/>
      </w:pPr>
      <w:r w:rsidRPr="0071660A">
        <w:t xml:space="preserve">pathology </w:t>
      </w:r>
    </w:p>
    <w:p w14:paraId="25FC8028" w14:textId="1E58317B" w:rsidR="00B34136" w:rsidRPr="0071660A" w:rsidRDefault="0053705F">
      <w:pPr>
        <w:pStyle w:val="DHHSbullet1indent"/>
      </w:pPr>
      <w:r w:rsidRPr="0071660A">
        <w:t>pharmacy – subject to use of approved spill-secure containers</w:t>
      </w:r>
    </w:p>
    <w:p w14:paraId="62CD3DB2" w14:textId="76BDFE4E" w:rsidR="00B34136" w:rsidRPr="0071660A" w:rsidRDefault="0053705F">
      <w:pPr>
        <w:pStyle w:val="DHHSbullet1indent"/>
      </w:pPr>
      <w:r w:rsidRPr="0071660A">
        <w:t>emergency departments</w:t>
      </w:r>
      <w:r w:rsidR="00B34136" w:rsidRPr="0071660A">
        <w:t>.</w:t>
      </w:r>
    </w:p>
    <w:p w14:paraId="76C4B438" w14:textId="266D616D" w:rsidR="00B34136" w:rsidRPr="0071660A" w:rsidRDefault="00B34136" w:rsidP="004657F7">
      <w:pPr>
        <w:pStyle w:val="Heading2"/>
      </w:pPr>
      <w:bookmarkStart w:id="49" w:name="_Toc22890845"/>
      <w:bookmarkStart w:id="50" w:name="_Toc29400813"/>
      <w:bookmarkStart w:id="51" w:name="_Toc42621646"/>
      <w:r w:rsidRPr="0071660A">
        <w:t xml:space="preserve">General </w:t>
      </w:r>
      <w:r w:rsidR="00453DD2" w:rsidRPr="0071660A">
        <w:t>requirements</w:t>
      </w:r>
      <w:bookmarkEnd w:id="49"/>
      <w:bookmarkEnd w:id="50"/>
      <w:bookmarkEnd w:id="51"/>
    </w:p>
    <w:p w14:paraId="7342D163" w14:textId="57AB10E5" w:rsidR="00B34136" w:rsidRPr="0071660A" w:rsidRDefault="00B34136">
      <w:pPr>
        <w:pStyle w:val="DHHSbodynumbered"/>
      </w:pPr>
      <w:r w:rsidRPr="0071660A">
        <w:t>Systems will be designed for the most direct route of tubing runs to keep specimen travel times to a minimum</w:t>
      </w:r>
      <w:r w:rsidR="006F0984">
        <w:t>,</w:t>
      </w:r>
      <w:r w:rsidRPr="0071660A">
        <w:t xml:space="preserve"> with care being taken to allow for tubing large turning radius bends that systems demand.</w:t>
      </w:r>
    </w:p>
    <w:p w14:paraId="6567A558" w14:textId="60FA04F5" w:rsidR="00B34136" w:rsidRPr="0071660A" w:rsidRDefault="00B34136">
      <w:pPr>
        <w:pStyle w:val="DHHSbodynumbered"/>
      </w:pPr>
      <w:r w:rsidRPr="0071660A">
        <w:t xml:space="preserve">Hospitals </w:t>
      </w:r>
      <w:r w:rsidR="006F0984">
        <w:t xml:space="preserve">a </w:t>
      </w:r>
      <w:r w:rsidRPr="0071660A">
        <w:t>place high level of reliance on pneumatic tube systems in the delivery of patient care. Systems will therefore be placed on standby power supplies to ensure system operation during power outages.</w:t>
      </w:r>
    </w:p>
    <w:p w14:paraId="543F0DD7" w14:textId="77777777" w:rsidR="00B34136" w:rsidRPr="0071660A" w:rsidRDefault="00B34136">
      <w:pPr>
        <w:pStyle w:val="DHHSbodynumbered"/>
      </w:pPr>
      <w:r w:rsidRPr="0071660A">
        <w:t>Large and complex systems will have an impact on service frequencies. Designers should consult with stakeholders and system suppliers to assess the traffic and resultant system performance.</w:t>
      </w:r>
    </w:p>
    <w:p w14:paraId="1202C807" w14:textId="58B41242" w:rsidR="00B34136" w:rsidRPr="0071660A" w:rsidRDefault="00B34136">
      <w:pPr>
        <w:pStyle w:val="DHHSbodynumbered"/>
      </w:pPr>
      <w:r w:rsidRPr="0071660A">
        <w:t>Designers will note that the tubes require a minimum bending radius to allow carriers to pass freely. This requires special coordination with services in the ceiling, joinery, walls and fire walls.</w:t>
      </w:r>
    </w:p>
    <w:p w14:paraId="0FC05CA2" w14:textId="0CD563E3" w:rsidR="00B34136" w:rsidRPr="0071660A" w:rsidRDefault="00B34136">
      <w:pPr>
        <w:pStyle w:val="DHHSbodynumbered"/>
      </w:pPr>
      <w:r w:rsidRPr="0071660A">
        <w:t>Tube carriers will be leak proof and tamper</w:t>
      </w:r>
      <w:r w:rsidR="006F0984">
        <w:t xml:space="preserve"> </w:t>
      </w:r>
      <w:r w:rsidRPr="0071660A">
        <w:t>proof</w:t>
      </w:r>
      <w:r w:rsidR="006F0984">
        <w:t>.</w:t>
      </w:r>
    </w:p>
    <w:p w14:paraId="4D369CE8" w14:textId="77777777" w:rsidR="007C161D" w:rsidRDefault="007C161D">
      <w:pPr>
        <w:rPr>
          <w:rFonts w:ascii="Arial" w:eastAsia="Calibri" w:hAnsi="Arial"/>
          <w:bCs/>
          <w:color w:val="0074BC" w:themeColor="text2"/>
          <w:sz w:val="44"/>
          <w:szCs w:val="44"/>
        </w:rPr>
      </w:pPr>
      <w:bookmarkStart w:id="52" w:name="_Toc22890846"/>
      <w:bookmarkStart w:id="53" w:name="_Toc29400814"/>
      <w:r>
        <w:rPr>
          <w:rFonts w:eastAsia="Calibri"/>
        </w:rPr>
        <w:br w:type="page"/>
      </w:r>
    </w:p>
    <w:p w14:paraId="7B9E0A6A" w14:textId="1FCDC749" w:rsidR="00B34136" w:rsidRPr="0071660A" w:rsidRDefault="00B34136" w:rsidP="004657F7">
      <w:pPr>
        <w:pStyle w:val="Heading1"/>
        <w:rPr>
          <w:rFonts w:eastAsia="Calibri"/>
        </w:rPr>
      </w:pPr>
      <w:bookmarkStart w:id="54" w:name="_Toc42621647"/>
      <w:r w:rsidRPr="0071660A">
        <w:rPr>
          <w:rFonts w:eastAsia="Calibri"/>
        </w:rPr>
        <w:lastRenderedPageBreak/>
        <w:t xml:space="preserve">Automated </w:t>
      </w:r>
      <w:r w:rsidR="00453DD2" w:rsidRPr="0071660A">
        <w:rPr>
          <w:rFonts w:eastAsia="Calibri"/>
        </w:rPr>
        <w:t xml:space="preserve">guided vehicles </w:t>
      </w:r>
      <w:r w:rsidRPr="0071660A">
        <w:rPr>
          <w:rFonts w:eastAsia="Calibri"/>
        </w:rPr>
        <w:t xml:space="preserve">(AGV) and </w:t>
      </w:r>
      <w:r w:rsidR="00453DD2" w:rsidRPr="0071660A">
        <w:rPr>
          <w:rFonts w:eastAsia="Calibri"/>
        </w:rPr>
        <w:t xml:space="preserve">autonomous mobile robots </w:t>
      </w:r>
      <w:r w:rsidRPr="0071660A">
        <w:rPr>
          <w:rFonts w:eastAsia="Calibri"/>
        </w:rPr>
        <w:t>(AMR)</w:t>
      </w:r>
      <w:bookmarkEnd w:id="52"/>
      <w:bookmarkEnd w:id="53"/>
      <w:bookmarkEnd w:id="54"/>
    </w:p>
    <w:p w14:paraId="79028CE0" w14:textId="77777777" w:rsidR="00B34136" w:rsidRPr="0071660A" w:rsidRDefault="00B34136" w:rsidP="004657F7">
      <w:pPr>
        <w:pStyle w:val="Heading2"/>
      </w:pPr>
      <w:bookmarkStart w:id="55" w:name="_Toc22890847"/>
      <w:bookmarkStart w:id="56" w:name="_Toc29400815"/>
      <w:bookmarkStart w:id="57" w:name="_Toc42621648"/>
      <w:r w:rsidRPr="0071660A">
        <w:t>Introduction</w:t>
      </w:r>
      <w:bookmarkEnd w:id="55"/>
      <w:bookmarkEnd w:id="56"/>
      <w:bookmarkEnd w:id="57"/>
    </w:p>
    <w:p w14:paraId="71E35DB1" w14:textId="1861EC04" w:rsidR="00B34136" w:rsidRPr="0071660A" w:rsidRDefault="00B34136">
      <w:pPr>
        <w:pStyle w:val="DHHSbodynumbered"/>
      </w:pPr>
      <w:r w:rsidRPr="0071660A">
        <w:t xml:space="preserve">Automated </w:t>
      </w:r>
      <w:r w:rsidR="0053705F" w:rsidRPr="0071660A">
        <w:t xml:space="preserve">guided vehicles </w:t>
      </w:r>
      <w:r w:rsidRPr="0071660A">
        <w:t xml:space="preserve">(AGVs) are used for handling </w:t>
      </w:r>
      <w:r w:rsidR="007B2B68">
        <w:t xml:space="preserve">material </w:t>
      </w:r>
      <w:r w:rsidRPr="0071660A">
        <w:t>in large healthcare facilities to transport supplies, medication, linens, meals, and waste streams throughout a facility.</w:t>
      </w:r>
      <w:r w:rsidR="007B2B68">
        <w:t xml:space="preserve"> </w:t>
      </w:r>
      <w:r w:rsidRPr="0071660A">
        <w:t>The AGVs navigate defined paths using embedded guide wires</w:t>
      </w:r>
      <w:r w:rsidR="007B2B68">
        <w:t xml:space="preserve"> </w:t>
      </w:r>
      <w:r w:rsidRPr="0071660A">
        <w:t>or laser guidance systems.</w:t>
      </w:r>
    </w:p>
    <w:p w14:paraId="3A8E33EE" w14:textId="7CC02035" w:rsidR="00B34136" w:rsidRPr="0071660A" w:rsidRDefault="00B34136">
      <w:pPr>
        <w:pStyle w:val="DHHSbodynumbered"/>
      </w:pPr>
      <w:r w:rsidRPr="0071660A">
        <w:t xml:space="preserve">Autonomous </w:t>
      </w:r>
      <w:r w:rsidR="0053705F" w:rsidRPr="0071660A">
        <w:t xml:space="preserve">mobile robots </w:t>
      </w:r>
      <w:r w:rsidRPr="0071660A">
        <w:t>(AMRs) are also used for handling</w:t>
      </w:r>
      <w:r w:rsidR="007B2B68">
        <w:t xml:space="preserve"> material,</w:t>
      </w:r>
      <w:r w:rsidRPr="0071660A">
        <w:t xml:space="preserve"> do not require embedded infrastructure and are suitable </w:t>
      </w:r>
      <w:r>
        <w:t>in</w:t>
      </w:r>
      <w:r w:rsidRPr="0071660A">
        <w:t xml:space="preserve"> </w:t>
      </w:r>
      <w:r>
        <w:t xml:space="preserve">new and </w:t>
      </w:r>
      <w:r w:rsidRPr="0071660A">
        <w:t>existing facilities that have restricted corridors</w:t>
      </w:r>
      <w:r>
        <w:t xml:space="preserve"> or </w:t>
      </w:r>
      <w:r w:rsidRPr="0071660A">
        <w:t>multiple levels</w:t>
      </w:r>
      <w:r w:rsidR="00A526AB">
        <w:t xml:space="preserve"> (or both)</w:t>
      </w:r>
      <w:r w:rsidRPr="0071660A">
        <w:t>.</w:t>
      </w:r>
    </w:p>
    <w:p w14:paraId="7C6B0933" w14:textId="77777777" w:rsidR="00B34136" w:rsidRPr="0071660A" w:rsidRDefault="00B34136" w:rsidP="004657F7">
      <w:pPr>
        <w:pStyle w:val="Heading2"/>
      </w:pPr>
      <w:bookmarkStart w:id="58" w:name="_Toc22890848"/>
      <w:bookmarkStart w:id="59" w:name="_Toc29400816"/>
      <w:bookmarkStart w:id="60" w:name="_Toc42621649"/>
      <w:r w:rsidRPr="0071660A">
        <w:t>Scope</w:t>
      </w:r>
      <w:bookmarkEnd w:id="58"/>
      <w:bookmarkEnd w:id="59"/>
      <w:bookmarkEnd w:id="60"/>
    </w:p>
    <w:p w14:paraId="314CDE44" w14:textId="71A09D4B" w:rsidR="00B34136" w:rsidRPr="0071660A" w:rsidRDefault="00B34136">
      <w:pPr>
        <w:pStyle w:val="DHHSbodynumbered"/>
      </w:pPr>
      <w:r>
        <w:t>T</w:t>
      </w:r>
      <w:r w:rsidRPr="0071660A">
        <w:t xml:space="preserve">he use of AGVs </w:t>
      </w:r>
      <w:r w:rsidR="007B2B68">
        <w:t>is</w:t>
      </w:r>
      <w:r w:rsidR="007B2B68" w:rsidRPr="0071660A">
        <w:t xml:space="preserve"> </w:t>
      </w:r>
      <w:r w:rsidRPr="0071660A">
        <w:t>appropriate to reduce staffing demand in the supply chain process for containerised transport of general goods, linen, meals</w:t>
      </w:r>
      <w:r>
        <w:t xml:space="preserve"> and </w:t>
      </w:r>
      <w:r w:rsidRPr="0071660A">
        <w:t xml:space="preserve">rubbish. Such systems can provide an automated container transfer service for scheduled transport needs and for specific demands as they arise. </w:t>
      </w:r>
    </w:p>
    <w:p w14:paraId="6CF7B08A" w14:textId="39BF32D1" w:rsidR="00B34136" w:rsidRPr="0071660A" w:rsidRDefault="00B34136">
      <w:pPr>
        <w:pStyle w:val="DHHSbodynumbered"/>
      </w:pPr>
      <w:r w:rsidRPr="0071660A">
        <w:t xml:space="preserve">AGVs are ideally suited to new developments with large logistical volumes, where spatial and services interface </w:t>
      </w:r>
      <w:r>
        <w:t>can be coordinated</w:t>
      </w:r>
      <w:r w:rsidRPr="0071660A">
        <w:t xml:space="preserve"> during the design phase. Issues for coordination are: </w:t>
      </w:r>
    </w:p>
    <w:p w14:paraId="753C962A" w14:textId="478D214D" w:rsidR="00B34136" w:rsidRPr="0071660A" w:rsidRDefault="0053705F">
      <w:pPr>
        <w:pStyle w:val="DHHSbullet1indent"/>
      </w:pPr>
      <w:r w:rsidRPr="0071660A">
        <w:t xml:space="preserve">environment – internal use only </w:t>
      </w:r>
    </w:p>
    <w:p w14:paraId="3059C929" w14:textId="770D5D68" w:rsidR="00B34136" w:rsidRPr="0071660A" w:rsidRDefault="0053705F">
      <w:pPr>
        <w:pStyle w:val="DHHSbullet1indent"/>
      </w:pPr>
      <w:r w:rsidRPr="0071660A">
        <w:t xml:space="preserve">corridor and walkway width suitable for both pedestrians </w:t>
      </w:r>
      <w:r w:rsidR="00785D6D">
        <w:t>and</w:t>
      </w:r>
      <w:r w:rsidRPr="0071660A">
        <w:t xml:space="preserve"> </w:t>
      </w:r>
      <w:r w:rsidR="007B2B68" w:rsidRPr="0071660A">
        <w:t>AGV</w:t>
      </w:r>
      <w:r w:rsidRPr="0071660A">
        <w:t xml:space="preserve">s </w:t>
      </w:r>
    </w:p>
    <w:p w14:paraId="7F870621" w14:textId="53D9A13F" w:rsidR="00B34136" w:rsidRDefault="0053705F">
      <w:pPr>
        <w:pStyle w:val="DHHSbullet1indent"/>
      </w:pPr>
      <w:r w:rsidRPr="0071660A">
        <w:t xml:space="preserve">corridor and </w:t>
      </w:r>
      <w:r w:rsidR="00B34136" w:rsidRPr="0071660A">
        <w:t xml:space="preserve">walkway floor covering, gradient, level changes </w:t>
      </w:r>
    </w:p>
    <w:p w14:paraId="62A98422" w14:textId="56C544AF" w:rsidR="00B34136" w:rsidRPr="0071660A" w:rsidRDefault="00B34136" w:rsidP="004657F7">
      <w:pPr>
        <w:pStyle w:val="DHHSbodynumberedafterbullets"/>
      </w:pPr>
      <w:r w:rsidRPr="0071660A">
        <w:t xml:space="preserve">AMRs typically handle smaller volumes and </w:t>
      </w:r>
      <w:r w:rsidR="007B2B68">
        <w:t xml:space="preserve">are </w:t>
      </w:r>
      <w:r w:rsidRPr="0071660A">
        <w:t>more suited suitable for projects and applications where an embedded guided vehicle system is not practical.</w:t>
      </w:r>
      <w:r w:rsidR="00785D6D">
        <w:t xml:space="preserve"> </w:t>
      </w:r>
    </w:p>
    <w:p w14:paraId="1C3EF494" w14:textId="77777777" w:rsidR="00B34136" w:rsidRPr="0071660A" w:rsidRDefault="00B34136">
      <w:pPr>
        <w:pStyle w:val="DHHSbodynumbered"/>
      </w:pPr>
      <w:r w:rsidRPr="0071660A">
        <w:t>AMRs are increasingly being used for:</w:t>
      </w:r>
    </w:p>
    <w:p w14:paraId="36399EA5" w14:textId="644A2199" w:rsidR="00B34136" w:rsidRPr="0071660A" w:rsidRDefault="0053705F">
      <w:pPr>
        <w:pStyle w:val="DHHSbullet1indent"/>
      </w:pPr>
      <w:r w:rsidRPr="0071660A">
        <w:t>document courier</w:t>
      </w:r>
    </w:p>
    <w:p w14:paraId="5B87E15A" w14:textId="6327FC00" w:rsidR="00B34136" w:rsidRPr="0071660A" w:rsidRDefault="0053705F">
      <w:pPr>
        <w:pStyle w:val="DHHSbullet1indent"/>
      </w:pPr>
      <w:r w:rsidRPr="0071660A">
        <w:t>environmental data collection and monitoring</w:t>
      </w:r>
    </w:p>
    <w:p w14:paraId="06DD297E" w14:textId="56271BD2" w:rsidR="00B34136" w:rsidRPr="0071660A" w:rsidRDefault="0053705F">
      <w:pPr>
        <w:pStyle w:val="DHHSbullet1indent"/>
      </w:pPr>
      <w:r w:rsidRPr="0071660A">
        <w:t>food and beverage distribution</w:t>
      </w:r>
    </w:p>
    <w:p w14:paraId="6D8D7A8C" w14:textId="3AD1D46E" w:rsidR="00B34136" w:rsidRPr="0071660A" w:rsidRDefault="0053705F">
      <w:pPr>
        <w:pStyle w:val="DHHSbullet1indent"/>
      </w:pPr>
      <w:r w:rsidRPr="0071660A">
        <w:t>linen supply and collection</w:t>
      </w:r>
    </w:p>
    <w:p w14:paraId="67A33A67" w14:textId="1524CE98" w:rsidR="00B34136" w:rsidRPr="0071660A" w:rsidRDefault="0053705F">
      <w:pPr>
        <w:pStyle w:val="DHHSbullet1indent"/>
      </w:pPr>
      <w:r w:rsidRPr="0071660A">
        <w:t>laboratory specimen handling</w:t>
      </w:r>
    </w:p>
    <w:p w14:paraId="7C0470D5" w14:textId="34813E8F" w:rsidR="00B34136" w:rsidRPr="0071660A" w:rsidRDefault="0053705F">
      <w:pPr>
        <w:pStyle w:val="DHHSbullet1indent"/>
      </w:pPr>
      <w:r w:rsidRPr="0071660A">
        <w:t xml:space="preserve">pharmacy </w:t>
      </w:r>
      <w:r w:rsidR="00B34136" w:rsidRPr="0071660A">
        <w:t>supplies</w:t>
      </w:r>
    </w:p>
    <w:p w14:paraId="51699F67" w14:textId="330683C4" w:rsidR="00B34136" w:rsidRPr="0071660A" w:rsidRDefault="00B34136" w:rsidP="004657F7">
      <w:pPr>
        <w:pStyle w:val="DHHSbodynumberedafterbullets"/>
      </w:pPr>
      <w:r w:rsidRPr="0071660A">
        <w:t>An individual needs assessment and business case for AGVs and AMRs must be carried out, and</w:t>
      </w:r>
      <w:r w:rsidR="007B2B68">
        <w:t>,</w:t>
      </w:r>
      <w:r w:rsidRPr="0071660A">
        <w:t xml:space="preserve"> if carried beyond the preliminary concept planning phase, specialist design input must be sought.</w:t>
      </w:r>
    </w:p>
    <w:p w14:paraId="5C150E5B" w14:textId="0262E9A6" w:rsidR="00B34136" w:rsidRPr="0071660A" w:rsidRDefault="00B34136" w:rsidP="004657F7">
      <w:pPr>
        <w:pStyle w:val="Heading2"/>
      </w:pPr>
      <w:bookmarkStart w:id="61" w:name="_Toc22890849"/>
      <w:bookmarkStart w:id="62" w:name="_Toc29400817"/>
      <w:bookmarkStart w:id="63" w:name="_Toc42621650"/>
      <w:r w:rsidRPr="0071660A">
        <w:t xml:space="preserve">General </w:t>
      </w:r>
      <w:r w:rsidR="00453DD2" w:rsidRPr="0071660A">
        <w:t>requirements</w:t>
      </w:r>
      <w:bookmarkEnd w:id="61"/>
      <w:bookmarkEnd w:id="62"/>
      <w:bookmarkEnd w:id="63"/>
    </w:p>
    <w:p w14:paraId="2ED48E07" w14:textId="69BE98A3" w:rsidR="00B34136" w:rsidRPr="0071660A" w:rsidRDefault="007B2B68">
      <w:pPr>
        <w:pStyle w:val="DHHSbodynumbered"/>
      </w:pPr>
      <w:r>
        <w:t>D</w:t>
      </w:r>
      <w:r w:rsidR="00B34136" w:rsidRPr="0071660A">
        <w:t xml:space="preserve">esigners will consider the following when assessing the suitability of AGV </w:t>
      </w:r>
      <w:r w:rsidR="00A526AB">
        <w:t>and</w:t>
      </w:r>
      <w:r w:rsidR="00A526AB" w:rsidRPr="0071660A">
        <w:t xml:space="preserve"> </w:t>
      </w:r>
      <w:r w:rsidR="00B34136" w:rsidRPr="0071660A">
        <w:t>ARM installations:</w:t>
      </w:r>
    </w:p>
    <w:p w14:paraId="2B597BA2" w14:textId="5CE6CEA2" w:rsidR="00B34136" w:rsidRPr="0071660A" w:rsidRDefault="00B34136" w:rsidP="00497C6B">
      <w:pPr>
        <w:pStyle w:val="DHHSbullet1indent"/>
      </w:pPr>
      <w:r w:rsidRPr="0071660A">
        <w:t>AGV parking</w:t>
      </w:r>
      <w:r w:rsidR="00A526AB">
        <w:t>,</w:t>
      </w:r>
      <w:r w:rsidRPr="0071660A">
        <w:t xml:space="preserve"> storage</w:t>
      </w:r>
      <w:r w:rsidR="00A526AB">
        <w:t>,</w:t>
      </w:r>
      <w:r w:rsidRPr="0071660A">
        <w:t xml:space="preserve"> recharge area </w:t>
      </w:r>
    </w:p>
    <w:p w14:paraId="22E8CE92" w14:textId="4B92B1CF" w:rsidR="00B34136" w:rsidRPr="0071660A" w:rsidRDefault="0053705F" w:rsidP="00497C6B">
      <w:pPr>
        <w:pStyle w:val="DHHSbullet1indent"/>
      </w:pPr>
      <w:r w:rsidRPr="0071660A">
        <w:t>electrical services interface</w:t>
      </w:r>
    </w:p>
    <w:p w14:paraId="58496CE9" w14:textId="30C9B819" w:rsidR="00B34136" w:rsidRPr="0071660A" w:rsidRDefault="0053705F" w:rsidP="00497C6B">
      <w:pPr>
        <w:pStyle w:val="DHHSbullet1indent"/>
      </w:pPr>
      <w:r w:rsidRPr="0071660A">
        <w:t>lift services interface</w:t>
      </w:r>
    </w:p>
    <w:p w14:paraId="13E4177D" w14:textId="4736EEEB" w:rsidR="00B34136" w:rsidRPr="0071660A" w:rsidRDefault="0053705F" w:rsidP="00497C6B">
      <w:pPr>
        <w:pStyle w:val="DHHSbullet1indent"/>
      </w:pPr>
      <w:r w:rsidRPr="0071660A">
        <w:t xml:space="preserve">automated </w:t>
      </w:r>
      <w:r w:rsidR="00B34136" w:rsidRPr="0071660A">
        <w:t>door interface.</w:t>
      </w:r>
    </w:p>
    <w:p w14:paraId="3065DF04" w14:textId="77777777" w:rsidR="00B34136" w:rsidRDefault="00B34136" w:rsidP="00B34136">
      <w:pPr>
        <w:rPr>
          <w:rFonts w:ascii="Arial" w:eastAsia="Times" w:hAnsi="Arial"/>
        </w:rPr>
      </w:pPr>
      <w:r>
        <w:br w:type="page"/>
      </w:r>
    </w:p>
    <w:p w14:paraId="4F2976AB" w14:textId="77777777" w:rsidR="00B34136" w:rsidRPr="00A51CC9" w:rsidRDefault="00B34136" w:rsidP="004657F7">
      <w:pPr>
        <w:pStyle w:val="Heading1"/>
        <w:rPr>
          <w:rFonts w:eastAsia="Calibri"/>
        </w:rPr>
      </w:pPr>
      <w:bookmarkStart w:id="64" w:name="_Toc22890850"/>
      <w:bookmarkStart w:id="65" w:name="_Toc29400818"/>
      <w:bookmarkStart w:id="66" w:name="_Toc42621651"/>
      <w:r w:rsidRPr="00A51CC9">
        <w:rPr>
          <w:rFonts w:eastAsia="Calibri"/>
        </w:rPr>
        <w:lastRenderedPageBreak/>
        <w:t>Acoustics</w:t>
      </w:r>
      <w:bookmarkEnd w:id="64"/>
      <w:bookmarkEnd w:id="65"/>
      <w:bookmarkEnd w:id="66"/>
    </w:p>
    <w:p w14:paraId="04BA4C46" w14:textId="77777777" w:rsidR="00B34136" w:rsidRPr="00A51CC9" w:rsidRDefault="00B34136" w:rsidP="004657F7">
      <w:pPr>
        <w:pStyle w:val="Heading2"/>
      </w:pPr>
      <w:bookmarkStart w:id="67" w:name="_Toc22890851"/>
      <w:bookmarkStart w:id="68" w:name="_Toc29400819"/>
      <w:bookmarkStart w:id="69" w:name="_Toc42621652"/>
      <w:r>
        <w:t>I</w:t>
      </w:r>
      <w:r w:rsidRPr="00A51CC9">
        <w:t>ntroduction</w:t>
      </w:r>
      <w:bookmarkEnd w:id="67"/>
      <w:bookmarkEnd w:id="68"/>
      <w:bookmarkEnd w:id="69"/>
    </w:p>
    <w:p w14:paraId="7A0CDE36" w14:textId="77777777" w:rsidR="00B34136" w:rsidRPr="00A51CC9" w:rsidRDefault="00B34136">
      <w:pPr>
        <w:pStyle w:val="DHHSbodynumbered"/>
      </w:pPr>
      <w:r w:rsidRPr="00A51CC9">
        <w:t>Ongoing clinical research has shown a positive relationship between patient wellbeing and recovery and good acoustic design of healthcare facilities. In the formulation of the design guidance provided in this document, this concept has been at the heart of the decision process.</w:t>
      </w:r>
    </w:p>
    <w:p w14:paraId="5AB5B414" w14:textId="629BB7F3" w:rsidR="00B34136" w:rsidRPr="00A51CC9" w:rsidRDefault="00B34136">
      <w:pPr>
        <w:pStyle w:val="DHHSbodynumbered"/>
      </w:pPr>
      <w:r w:rsidRPr="00A51CC9">
        <w:t xml:space="preserve">In addition to the wellbeing and recovery of the patients, extensive consideration has also been given for the staff </w:t>
      </w:r>
      <w:r w:rsidR="007B2B68">
        <w:t>who</w:t>
      </w:r>
      <w:r w:rsidR="007B2B68" w:rsidRPr="00A51CC9">
        <w:t xml:space="preserve"> </w:t>
      </w:r>
      <w:r w:rsidRPr="00A51CC9">
        <w:t xml:space="preserve">use these facilities daily. </w:t>
      </w:r>
    </w:p>
    <w:p w14:paraId="07CA43DA" w14:textId="2C5051A2" w:rsidR="00B34136" w:rsidRPr="00A51CC9" w:rsidRDefault="00B34136">
      <w:pPr>
        <w:pStyle w:val="DHHSbodynumbered"/>
      </w:pPr>
      <w:r w:rsidRPr="00A51CC9">
        <w:t>Sound control is critically important in healthcare facilities.</w:t>
      </w:r>
      <w:r w:rsidR="00785D6D">
        <w:t xml:space="preserve"> </w:t>
      </w:r>
      <w:r w:rsidRPr="00A51CC9">
        <w:t xml:space="preserve">High ambient noise levels can have serious </w:t>
      </w:r>
      <w:r w:rsidR="007B2B68">
        <w:t>effects</w:t>
      </w:r>
      <w:r w:rsidR="007B2B68" w:rsidRPr="00A51CC9">
        <w:t xml:space="preserve"> </w:t>
      </w:r>
      <w:r w:rsidRPr="00A51CC9">
        <w:t>ranging from sleep loss, increase</w:t>
      </w:r>
      <w:r w:rsidR="007B2B68">
        <w:t>d</w:t>
      </w:r>
      <w:r w:rsidRPr="00A51CC9">
        <w:t xml:space="preserve"> blood pressure, heart and respiration rates in patients and can contribute to cognitive impairment for staff.</w:t>
      </w:r>
      <w:r w:rsidR="00785D6D">
        <w:t xml:space="preserve"> </w:t>
      </w:r>
    </w:p>
    <w:p w14:paraId="7599BAD7" w14:textId="7BF3A280" w:rsidR="00B34136" w:rsidRPr="00A51CC9" w:rsidRDefault="00B34136">
      <w:pPr>
        <w:pStyle w:val="DHHSbodynumbered"/>
      </w:pPr>
      <w:r w:rsidRPr="00A51CC9">
        <w:t>Poor acoustically designed environments can pose a risk to patient confidentiality or impede effective communication between patients and staff and between staff members by making speech or auditory signals less intelligible or detectable.</w:t>
      </w:r>
      <w:r w:rsidR="00785D6D">
        <w:t xml:space="preserve"> </w:t>
      </w:r>
      <w:r w:rsidRPr="00A51CC9">
        <w:t xml:space="preserve">The design should prevent the transmission of unwanted sound yet maximize speech intelligibility between </w:t>
      </w:r>
      <w:r w:rsidR="007B2B68">
        <w:t>people</w:t>
      </w:r>
      <w:r w:rsidR="007B2B68" w:rsidRPr="00A51CC9">
        <w:t xml:space="preserve"> </w:t>
      </w:r>
      <w:r w:rsidRPr="00A51CC9">
        <w:t>who need to</w:t>
      </w:r>
      <w:r w:rsidR="0053705F" w:rsidRPr="00A51CC9">
        <w:t xml:space="preserve"> communicate with each other.</w:t>
      </w:r>
    </w:p>
    <w:p w14:paraId="25A1B03C" w14:textId="77777777" w:rsidR="00B34136" w:rsidRPr="00A51CC9" w:rsidRDefault="00B34136">
      <w:pPr>
        <w:pStyle w:val="DHHSbodynumbered"/>
      </w:pPr>
      <w:r w:rsidRPr="00A51CC9">
        <w:t xml:space="preserve">Good acoustic design will: </w:t>
      </w:r>
    </w:p>
    <w:p w14:paraId="46F2B774" w14:textId="088AFC26" w:rsidR="00B34136" w:rsidRPr="00A51CC9" w:rsidRDefault="0053705F">
      <w:pPr>
        <w:pStyle w:val="DHHSbullet1indent"/>
      </w:pPr>
      <w:r w:rsidRPr="00A51CC9">
        <w:t>improve comfort, privacy and dignity for patients and their visitors</w:t>
      </w:r>
    </w:p>
    <w:p w14:paraId="6874A5D2" w14:textId="25F1D413" w:rsidR="00B34136" w:rsidRPr="00A51CC9" w:rsidRDefault="0053705F">
      <w:pPr>
        <w:pStyle w:val="DHHSbullet1indent"/>
      </w:pPr>
      <w:r w:rsidRPr="00A51CC9">
        <w:t>assist in providing improved sleep patterns which are critical for the healing process</w:t>
      </w:r>
    </w:p>
    <w:p w14:paraId="5E0A4A78" w14:textId="4398751C" w:rsidR="00B34136" w:rsidRDefault="0053705F">
      <w:pPr>
        <w:pStyle w:val="DHHSbullet1indent"/>
      </w:pPr>
      <w:r w:rsidRPr="00A51CC9">
        <w:t xml:space="preserve">improve </w:t>
      </w:r>
      <w:r w:rsidR="00B34136" w:rsidRPr="00A51CC9">
        <w:t>staff comfort, privacy, intelligibility, audibility, efficiency and accuracy</w:t>
      </w:r>
    </w:p>
    <w:p w14:paraId="31062812" w14:textId="0047EBA4" w:rsidR="00B34136" w:rsidRPr="00690A0E" w:rsidRDefault="007B2B68" w:rsidP="004657F7">
      <w:pPr>
        <w:pStyle w:val="DHHSbodynumberedafterbullets"/>
      </w:pPr>
      <w:r>
        <w:t>A</w:t>
      </w:r>
      <w:r w:rsidRPr="00A51CC9">
        <w:t>coustic treatments may not be possible</w:t>
      </w:r>
      <w:r>
        <w:t xml:space="preserve"> i</w:t>
      </w:r>
      <w:r w:rsidR="00B34136" w:rsidRPr="00A51CC9">
        <w:t xml:space="preserve">n rooms </w:t>
      </w:r>
      <w:r>
        <w:t>that</w:t>
      </w:r>
      <w:r w:rsidRPr="00A51CC9">
        <w:t xml:space="preserve"> </w:t>
      </w:r>
      <w:r w:rsidR="00B34136" w:rsidRPr="00A51CC9">
        <w:t>require extreme levels of infection control (</w:t>
      </w:r>
      <w:r w:rsidR="00B34136">
        <w:t>spaces where the primary purpose of the HVAC system is not air conditioning</w:t>
      </w:r>
      <w:r>
        <w:t xml:space="preserve"> – </w:t>
      </w:r>
      <w:r w:rsidR="00B34136">
        <w:t>refer to Reference table 1</w:t>
      </w:r>
      <w:r w:rsidR="00B34136" w:rsidRPr="00A51CC9">
        <w:t xml:space="preserve">). In this </w:t>
      </w:r>
      <w:r>
        <w:t>situation,</w:t>
      </w:r>
      <w:r w:rsidRPr="00A51CC9">
        <w:t xml:space="preserve"> </w:t>
      </w:r>
      <w:r w:rsidR="00B34136" w:rsidRPr="00A51CC9">
        <w:t>the acoustic consultant should raise this deviation with project managers.</w:t>
      </w:r>
    </w:p>
    <w:p w14:paraId="543C071D" w14:textId="77777777" w:rsidR="00B34136" w:rsidRPr="00A51CC9" w:rsidRDefault="00B34136" w:rsidP="004657F7">
      <w:pPr>
        <w:pStyle w:val="Heading2"/>
      </w:pPr>
      <w:bookmarkStart w:id="70" w:name="_Toc22890852"/>
      <w:bookmarkStart w:id="71" w:name="_Toc29400820"/>
      <w:bookmarkStart w:id="72" w:name="_Toc42621653"/>
      <w:r w:rsidRPr="00A51CC9">
        <w:t>Scope</w:t>
      </w:r>
      <w:bookmarkEnd w:id="70"/>
      <w:bookmarkEnd w:id="71"/>
      <w:bookmarkEnd w:id="72"/>
    </w:p>
    <w:p w14:paraId="1DE9D5CE" w14:textId="27DAA496" w:rsidR="00B34136" w:rsidRPr="00A51CC9" w:rsidRDefault="00B34136">
      <w:pPr>
        <w:pStyle w:val="DHHSbodynumbered"/>
      </w:pPr>
      <w:r w:rsidRPr="00A51CC9">
        <w:t>In the development of the acoustic design for a healthcare building</w:t>
      </w:r>
      <w:r w:rsidR="007B2B68">
        <w:t>,</w:t>
      </w:r>
      <w:r w:rsidRPr="00A51CC9">
        <w:t xml:space="preserve"> the design team and builder must consider: </w:t>
      </w:r>
    </w:p>
    <w:p w14:paraId="2EBBF363" w14:textId="1EECD2D5" w:rsidR="00B34136" w:rsidRPr="00A51CC9" w:rsidRDefault="0053705F">
      <w:pPr>
        <w:pStyle w:val="DHHSbullet1indent"/>
      </w:pPr>
      <w:r w:rsidRPr="00A51CC9">
        <w:t xml:space="preserve">environmental noise emission </w:t>
      </w:r>
    </w:p>
    <w:p w14:paraId="7B74F59A" w14:textId="09A2A0F4" w:rsidR="00B34136" w:rsidRPr="00A51CC9" w:rsidRDefault="0053705F">
      <w:pPr>
        <w:pStyle w:val="DHHSbullet1indent"/>
      </w:pPr>
      <w:r w:rsidRPr="00A51CC9">
        <w:t xml:space="preserve">internal design noise and vibration levels </w:t>
      </w:r>
    </w:p>
    <w:p w14:paraId="50FF1094" w14:textId="4B99D32F" w:rsidR="00B34136" w:rsidRPr="00A51CC9" w:rsidRDefault="0053705F">
      <w:pPr>
        <w:pStyle w:val="DHHSbullet1indent"/>
      </w:pPr>
      <w:r w:rsidRPr="00A51CC9">
        <w:t xml:space="preserve">environmental noise intrusion </w:t>
      </w:r>
    </w:p>
    <w:p w14:paraId="642BCC83" w14:textId="3F8A3946" w:rsidR="00B34136" w:rsidRPr="00A51CC9" w:rsidRDefault="0053705F">
      <w:pPr>
        <w:pStyle w:val="DHHSbullet1indent"/>
      </w:pPr>
      <w:r w:rsidRPr="00A51CC9">
        <w:t xml:space="preserve">building services noise and vibration </w:t>
      </w:r>
    </w:p>
    <w:p w14:paraId="7F51BA1E" w14:textId="60202459" w:rsidR="00B34136" w:rsidRPr="00A51CC9" w:rsidRDefault="0053705F">
      <w:pPr>
        <w:pStyle w:val="DHHSbullet1indent"/>
      </w:pPr>
      <w:r w:rsidRPr="00A51CC9">
        <w:t xml:space="preserve">internal acoustic isolation </w:t>
      </w:r>
    </w:p>
    <w:p w14:paraId="7D5E0CC0" w14:textId="6A5B518E" w:rsidR="00B34136" w:rsidRPr="00A51CC9" w:rsidRDefault="0053705F">
      <w:pPr>
        <w:pStyle w:val="DHHSbullet1indent"/>
      </w:pPr>
      <w:r w:rsidRPr="00A51CC9">
        <w:t>rain noise</w:t>
      </w:r>
    </w:p>
    <w:p w14:paraId="1C1C2BB2" w14:textId="3E7D80D6" w:rsidR="00B34136" w:rsidRPr="00A51CC9" w:rsidRDefault="0053705F">
      <w:pPr>
        <w:pStyle w:val="DHHSbullet1indent"/>
      </w:pPr>
      <w:r w:rsidRPr="00A51CC9">
        <w:t xml:space="preserve">room acoustics and </w:t>
      </w:r>
    </w:p>
    <w:p w14:paraId="7FC50E92" w14:textId="5C6BAFCB" w:rsidR="00B34136" w:rsidRPr="00A51CC9" w:rsidRDefault="0053705F">
      <w:pPr>
        <w:pStyle w:val="DHHSbullet1indent"/>
      </w:pPr>
      <w:r w:rsidRPr="00A51CC9">
        <w:t xml:space="preserve">vibration </w:t>
      </w:r>
      <w:r w:rsidR="00B34136" w:rsidRPr="00A51CC9">
        <w:t>and structure borne noise.</w:t>
      </w:r>
    </w:p>
    <w:p w14:paraId="45CCFF1C" w14:textId="77777777" w:rsidR="00B34136" w:rsidRPr="00A51CC9" w:rsidRDefault="00B34136" w:rsidP="004657F7">
      <w:pPr>
        <w:pStyle w:val="DHHSbodynumberedafterbullets"/>
      </w:pPr>
      <w:r w:rsidRPr="00A51CC9">
        <w:t>Design guidelines provide advice for the project team to consider while designing to achieve the required performance targets.</w:t>
      </w:r>
    </w:p>
    <w:p w14:paraId="6463A99D" w14:textId="1BDD1DA6" w:rsidR="00B34136" w:rsidRPr="00A51CC9" w:rsidRDefault="00B34136" w:rsidP="004657F7">
      <w:pPr>
        <w:pStyle w:val="Heading2"/>
      </w:pPr>
      <w:bookmarkStart w:id="73" w:name="_Toc22890853"/>
      <w:bookmarkStart w:id="74" w:name="_Toc29400821"/>
      <w:bookmarkStart w:id="75" w:name="_Toc42621654"/>
      <w:r w:rsidRPr="00A51CC9">
        <w:lastRenderedPageBreak/>
        <w:t xml:space="preserve">General </w:t>
      </w:r>
      <w:r w:rsidR="00453DD2" w:rsidRPr="00A51CC9">
        <w:t>requirements</w:t>
      </w:r>
      <w:bookmarkEnd w:id="73"/>
      <w:bookmarkEnd w:id="74"/>
      <w:bookmarkEnd w:id="75"/>
    </w:p>
    <w:p w14:paraId="5E6EE112" w14:textId="48B48867" w:rsidR="00B34136" w:rsidRPr="00A51CC9" w:rsidRDefault="00B34136" w:rsidP="004657F7">
      <w:pPr>
        <w:pStyle w:val="Heading3"/>
      </w:pPr>
      <w:r w:rsidRPr="00A51CC9">
        <w:t xml:space="preserve">Environmental </w:t>
      </w:r>
      <w:r w:rsidR="00453DD2" w:rsidRPr="00A51CC9">
        <w:t xml:space="preserve">noise emission </w:t>
      </w:r>
    </w:p>
    <w:p w14:paraId="5EBD651A" w14:textId="32202959" w:rsidR="00B34136" w:rsidRPr="00A51CC9" w:rsidRDefault="00B34136">
      <w:pPr>
        <w:pStyle w:val="DHHSbodynumbered"/>
      </w:pPr>
      <w:r w:rsidRPr="00A51CC9">
        <w:t xml:space="preserve">Noise emissions from the operation of all healthcare facilities </w:t>
      </w:r>
      <w:r>
        <w:t>will</w:t>
      </w:r>
      <w:r w:rsidRPr="00A51CC9">
        <w:t xml:space="preserve"> comply with applicable regulatory requirements. Operational noise may include:</w:t>
      </w:r>
    </w:p>
    <w:p w14:paraId="22DC7010" w14:textId="6A2F0D13" w:rsidR="00B34136" w:rsidRPr="00A51CC9" w:rsidRDefault="0053705F">
      <w:pPr>
        <w:pStyle w:val="DHHSbullet1indent"/>
      </w:pPr>
      <w:r w:rsidRPr="00A51CC9">
        <w:t>external mechanical plant.</w:t>
      </w:r>
    </w:p>
    <w:p w14:paraId="7DC3D293" w14:textId="182B6C24" w:rsidR="00B34136" w:rsidRPr="00A51CC9" w:rsidRDefault="0053705F">
      <w:pPr>
        <w:pStyle w:val="DHHSbullet1indent"/>
      </w:pPr>
      <w:r w:rsidRPr="00A51CC9">
        <w:t>back of house operations.</w:t>
      </w:r>
    </w:p>
    <w:p w14:paraId="5C725D84" w14:textId="3C43E6D4" w:rsidR="00B34136" w:rsidRPr="00A51CC9" w:rsidRDefault="0053705F">
      <w:pPr>
        <w:pStyle w:val="DHHSbullet1indent"/>
      </w:pPr>
      <w:r w:rsidRPr="00A51CC9">
        <w:t>loading dock areas.</w:t>
      </w:r>
    </w:p>
    <w:p w14:paraId="2A7A8492" w14:textId="2598A35F" w:rsidR="00B34136" w:rsidRPr="00A51CC9" w:rsidRDefault="0053705F">
      <w:pPr>
        <w:pStyle w:val="DHHSbullet1indent"/>
      </w:pPr>
      <w:r w:rsidRPr="00A51CC9">
        <w:t>vehicle noise (carparks and driveways) on the site.</w:t>
      </w:r>
    </w:p>
    <w:p w14:paraId="393C92EE" w14:textId="48172D64" w:rsidR="00B34136" w:rsidRPr="00A51CC9" w:rsidRDefault="0053705F">
      <w:pPr>
        <w:pStyle w:val="DHHSbullet1indent"/>
      </w:pPr>
      <w:r w:rsidRPr="00A51CC9">
        <w:t>road noise generated by vehicle traffic associated with the facility</w:t>
      </w:r>
    </w:p>
    <w:p w14:paraId="63DD8FA6" w14:textId="5CE6F2BE" w:rsidR="00B34136" w:rsidRPr="00A51CC9" w:rsidRDefault="0053705F">
      <w:pPr>
        <w:pStyle w:val="DHHSbullet1indent"/>
      </w:pPr>
      <w:r w:rsidRPr="00A51CC9">
        <w:t>helicopter noi</w:t>
      </w:r>
      <w:r w:rsidR="00B34136" w:rsidRPr="00A51CC9">
        <w:t>se.</w:t>
      </w:r>
    </w:p>
    <w:p w14:paraId="45DCAF51" w14:textId="7C31EFF7" w:rsidR="00B34136" w:rsidRPr="00A51CC9" w:rsidRDefault="00B34136" w:rsidP="004657F7">
      <w:pPr>
        <w:pStyle w:val="Heading3"/>
      </w:pPr>
      <w:r w:rsidRPr="00A51CC9">
        <w:t xml:space="preserve">External </w:t>
      </w:r>
      <w:r w:rsidR="00453DD2" w:rsidRPr="00A51CC9">
        <w:t xml:space="preserve">noise intrusion </w:t>
      </w:r>
    </w:p>
    <w:p w14:paraId="3E3E925D" w14:textId="16DF04FD" w:rsidR="00B34136" w:rsidRPr="00A51CC9" w:rsidRDefault="00B34136">
      <w:pPr>
        <w:pStyle w:val="DHHSbodynumbered"/>
      </w:pPr>
      <w:r w:rsidRPr="00A51CC9">
        <w:t>When designing and constructing the fabric of the building, internal noise levels from external sources should not exceed the design levels indicated in the following</w:t>
      </w:r>
      <w:r w:rsidR="007B2B68">
        <w:t>.</w:t>
      </w:r>
    </w:p>
    <w:p w14:paraId="0181CEC2" w14:textId="1AC2FD28" w:rsidR="00B34136" w:rsidRPr="00A51CC9" w:rsidRDefault="00B34136">
      <w:pPr>
        <w:pStyle w:val="Heading4"/>
      </w:pPr>
      <w:r w:rsidRPr="00A51CC9">
        <w:t xml:space="preserve">Steady </w:t>
      </w:r>
      <w:r w:rsidR="00453DD2" w:rsidRPr="00A51CC9">
        <w:t>state</w:t>
      </w:r>
    </w:p>
    <w:p w14:paraId="6BE59B33" w14:textId="1A08500A" w:rsidR="00B34136" w:rsidRPr="00A51CC9" w:rsidRDefault="00B34136">
      <w:pPr>
        <w:pStyle w:val="DHHSbodynumbered"/>
      </w:pPr>
      <w:r w:rsidRPr="00A51CC9">
        <w:t>Steady state noise sources (</w:t>
      </w:r>
      <w:r w:rsidR="007B2B68">
        <w:t xml:space="preserve">such as </w:t>
      </w:r>
      <w:r w:rsidRPr="00A51CC9">
        <w:t>traffic or external mechanical plant noise) should not exceed the equivalent A-</w:t>
      </w:r>
      <w:r w:rsidR="0053705F" w:rsidRPr="00A51CC9">
        <w:t xml:space="preserve">weighted </w:t>
      </w:r>
      <w:r w:rsidRPr="00A51CC9">
        <w:t xml:space="preserve">noise level corresponding to the RC Mark II scale presented in Reference </w:t>
      </w:r>
      <w:r w:rsidR="00B052CD">
        <w:t>t</w:t>
      </w:r>
      <w:r w:rsidRPr="00A51CC9">
        <w:t>able 2. This A-</w:t>
      </w:r>
      <w:r w:rsidR="0053705F" w:rsidRPr="00A51CC9">
        <w:t xml:space="preserve">weighted </w:t>
      </w:r>
      <w:r w:rsidRPr="00A51CC9">
        <w:t>number should also include the cumulative noise contribution of building engineering services in normal operation.</w:t>
      </w:r>
    </w:p>
    <w:p w14:paraId="627FF29B" w14:textId="74BD6F85" w:rsidR="00B34136" w:rsidRPr="00A51CC9" w:rsidRDefault="00B34136">
      <w:pPr>
        <w:pStyle w:val="Heading4"/>
      </w:pPr>
      <w:r w:rsidRPr="00A51CC9">
        <w:t xml:space="preserve">Intermittent </w:t>
      </w:r>
      <w:r w:rsidR="00453DD2" w:rsidRPr="00A51CC9">
        <w:t>noise</w:t>
      </w:r>
    </w:p>
    <w:p w14:paraId="618B0C15" w14:textId="3FF694D5" w:rsidR="00B34136" w:rsidRPr="004657F7" w:rsidRDefault="00B34136">
      <w:pPr>
        <w:pStyle w:val="DHHSbodynumbered"/>
      </w:pPr>
      <w:r w:rsidRPr="00B052CD">
        <w:t xml:space="preserve">Noise from intermittent noises </w:t>
      </w:r>
      <w:r w:rsidR="007B2B68">
        <w:t>(</w:t>
      </w:r>
      <w:r w:rsidRPr="00B052CD">
        <w:t>such as aircraft</w:t>
      </w:r>
      <w:r w:rsidR="007B2B68">
        <w:t>)</w:t>
      </w:r>
      <w:r w:rsidRPr="00B052CD">
        <w:t xml:space="preserve"> should not exceed levels as listed in Table 3.3 of Australian Standard </w:t>
      </w:r>
      <w:r w:rsidRPr="004657F7">
        <w:t>AS 2021:2015 Acoustics</w:t>
      </w:r>
      <w:r w:rsidR="00B052CD">
        <w:t xml:space="preserve"> </w:t>
      </w:r>
      <w:r w:rsidRPr="004657F7">
        <w:t>–</w:t>
      </w:r>
      <w:r w:rsidR="00B052CD">
        <w:t xml:space="preserve"> </w:t>
      </w:r>
      <w:r w:rsidRPr="004657F7">
        <w:t>Aircraft noise intrusion</w:t>
      </w:r>
      <w:r w:rsidR="00B052CD">
        <w:t xml:space="preserve"> </w:t>
      </w:r>
      <w:r w:rsidRPr="004657F7">
        <w:t>–</w:t>
      </w:r>
      <w:r w:rsidR="00B052CD">
        <w:t xml:space="preserve"> </w:t>
      </w:r>
      <w:r w:rsidRPr="004657F7">
        <w:t>Building siting and construction.</w:t>
      </w:r>
    </w:p>
    <w:p w14:paraId="2E5B716C" w14:textId="2F1A317B" w:rsidR="00B34136" w:rsidRPr="00A51CC9" w:rsidRDefault="00B34136" w:rsidP="004657F7">
      <w:pPr>
        <w:pStyle w:val="Heading2"/>
      </w:pPr>
      <w:bookmarkStart w:id="76" w:name="_Toc22890855"/>
      <w:bookmarkStart w:id="77" w:name="_Toc29400822"/>
      <w:bookmarkStart w:id="78" w:name="_Toc42621655"/>
      <w:r w:rsidRPr="00A51CC9">
        <w:t xml:space="preserve">Noise from </w:t>
      </w:r>
      <w:r w:rsidR="00453DD2" w:rsidRPr="00A51CC9">
        <w:t>engineering services</w:t>
      </w:r>
      <w:bookmarkEnd w:id="76"/>
      <w:bookmarkEnd w:id="77"/>
      <w:bookmarkEnd w:id="78"/>
    </w:p>
    <w:p w14:paraId="051B1661" w14:textId="570E6AF2" w:rsidR="00B34136" w:rsidRPr="00A51CC9" w:rsidRDefault="00B34136">
      <w:pPr>
        <w:pStyle w:val="DHHSbodynumbered"/>
      </w:pPr>
      <w:r w:rsidRPr="00A51CC9">
        <w:t xml:space="preserve">Internal noise levels from the normal operation of all cumulative engineering services should comply with the levels listed in </w:t>
      </w:r>
      <w:r w:rsidR="00A526AB">
        <w:t>Reference table</w:t>
      </w:r>
      <w:r w:rsidRPr="00A51CC9">
        <w:t xml:space="preserve"> 2.</w:t>
      </w:r>
      <w:r w:rsidR="00785D6D">
        <w:t xml:space="preserve"> </w:t>
      </w:r>
      <w:r w:rsidRPr="00A51CC9">
        <w:t>All measurements should be undertaken using the RC Mark II scale.</w:t>
      </w:r>
    </w:p>
    <w:p w14:paraId="7B36280E" w14:textId="50622472" w:rsidR="00B34136" w:rsidRPr="00A51CC9" w:rsidRDefault="00B34136">
      <w:pPr>
        <w:pStyle w:val="DHHSbodynumbered"/>
      </w:pPr>
      <w:r w:rsidRPr="00A51CC9">
        <w:t>The RC Mark II criteria</w:t>
      </w:r>
      <w:r w:rsidRPr="00A51CC9" w:rsidDel="00A57C7C">
        <w:t xml:space="preserve"> </w:t>
      </w:r>
      <w:r w:rsidRPr="00A51CC9">
        <w:t>are provided for noise from engineering services only. In the event the space under consideration is affected by other noise sources (</w:t>
      </w:r>
      <w:r w:rsidR="007B2B68">
        <w:t>such as</w:t>
      </w:r>
      <w:r w:rsidRPr="00A51CC9">
        <w:t xml:space="preserve"> external traffic noise intrusion), further considerations should be made by the assessing engineer to ensure adequate allowances are made to ensure the overall cumulative noise level inside the space complies with the A-weighted noise level that corresponds to the RC Mark II criterion level.</w:t>
      </w:r>
      <w:r w:rsidR="00785D6D">
        <w:t xml:space="preserve"> </w:t>
      </w:r>
      <w:r w:rsidRPr="00A51CC9">
        <w:t xml:space="preserve">The equivalent A-weighted noise level corresponding to the RC Mark II criterion </w:t>
      </w:r>
      <w:r>
        <w:t>will</w:t>
      </w:r>
      <w:r w:rsidRPr="00A51CC9">
        <w:t xml:space="preserve"> be taken to be equal to the RC Mark II +</w:t>
      </w:r>
      <w:r w:rsidR="007B2B68">
        <w:t>plus</w:t>
      </w:r>
      <w:r w:rsidRPr="00A51CC9">
        <w:t xml:space="preserve"> </w:t>
      </w:r>
      <w:r w:rsidR="007B2B68">
        <w:t>five decibels</w:t>
      </w:r>
      <w:r w:rsidRPr="00A51CC9">
        <w:t>.</w:t>
      </w:r>
    </w:p>
    <w:p w14:paraId="67AB905A" w14:textId="3CFCCD7A" w:rsidR="00B34136" w:rsidRPr="00A51CC9" w:rsidRDefault="00B34136" w:rsidP="004657F7">
      <w:pPr>
        <w:pStyle w:val="Heading2"/>
      </w:pPr>
      <w:bookmarkStart w:id="79" w:name="_Toc22890856"/>
      <w:bookmarkStart w:id="80" w:name="_Toc29400823"/>
      <w:bookmarkStart w:id="81" w:name="_Toc42621656"/>
      <w:r w:rsidRPr="00A51CC9">
        <w:t xml:space="preserve">Reverberation </w:t>
      </w:r>
      <w:r w:rsidR="00453DD2" w:rsidRPr="00A51CC9">
        <w:t>time control</w:t>
      </w:r>
      <w:bookmarkEnd w:id="79"/>
      <w:bookmarkEnd w:id="80"/>
      <w:bookmarkEnd w:id="81"/>
    </w:p>
    <w:p w14:paraId="3BCDC2DC" w14:textId="601D0C2B" w:rsidR="00B34136" w:rsidRPr="00A51CC9" w:rsidRDefault="00B34136">
      <w:pPr>
        <w:pStyle w:val="DHHSbodynumbered"/>
      </w:pPr>
      <w:r w:rsidRPr="00A51CC9">
        <w:t>Reverberation time control in healthcare facilities is important in controlling the reverberant build-up of noise within occupied spaces and ensuring adequate speech intelligibility.</w:t>
      </w:r>
      <w:r w:rsidR="00785D6D">
        <w:t xml:space="preserve"> </w:t>
      </w:r>
      <w:r w:rsidRPr="00A51CC9">
        <w:t xml:space="preserve">Spaces that have excessively long reverberation times can be uncomfortable for the end users of the space, including both patients and staff. </w:t>
      </w:r>
    </w:p>
    <w:p w14:paraId="5FB9368E" w14:textId="24555C00" w:rsidR="00B34136" w:rsidRPr="00A51CC9" w:rsidRDefault="00B34136">
      <w:pPr>
        <w:pStyle w:val="DHHSbodynumbered"/>
      </w:pPr>
      <w:r w:rsidRPr="00A51CC9">
        <w:t xml:space="preserve">Recommended reverberation times (RT60 values) for fully furnished spaces </w:t>
      </w:r>
      <w:r w:rsidR="00EE28AB">
        <w:t xml:space="preserve">are </w:t>
      </w:r>
      <w:r w:rsidRPr="00A51CC9">
        <w:t xml:space="preserve">in Reference </w:t>
      </w:r>
      <w:r w:rsidR="0053705F" w:rsidRPr="00A51CC9">
        <w:t xml:space="preserve">table </w:t>
      </w:r>
      <w:r w:rsidRPr="00A51CC9">
        <w:t>2 All reverberation time measurements should be made in both the 500</w:t>
      </w:r>
      <w:r w:rsidR="006950BC">
        <w:t xml:space="preserve"> Hz</w:t>
      </w:r>
      <w:r w:rsidRPr="00A51CC9">
        <w:t xml:space="preserve"> and 1</w:t>
      </w:r>
      <w:r w:rsidR="006950BC">
        <w:t xml:space="preserve"> </w:t>
      </w:r>
      <w:r w:rsidRPr="00A51CC9">
        <w:t xml:space="preserve">kHz </w:t>
      </w:r>
      <w:r w:rsidRPr="00A51CC9">
        <w:lastRenderedPageBreak/>
        <w:t>octave bands. If these measurements are made in empty or partially completed rooms, the measured levels should be appropriately adjusted to represent their fully furnished state.</w:t>
      </w:r>
    </w:p>
    <w:p w14:paraId="5F6ECE1C" w14:textId="77777777" w:rsidR="00B34136" w:rsidRPr="00A51CC9" w:rsidRDefault="00B34136">
      <w:pPr>
        <w:pStyle w:val="DHHSbodynumbered"/>
        <w:rPr>
          <w:b/>
        </w:rPr>
      </w:pPr>
      <w:r w:rsidRPr="00A51CC9">
        <w:t>For critical spaces like audiometric rooms or similar, specialist advice should be sought.</w:t>
      </w:r>
    </w:p>
    <w:p w14:paraId="68586506" w14:textId="49E29F2D" w:rsidR="00B34136" w:rsidRPr="00A51CC9" w:rsidRDefault="00B34136" w:rsidP="004657F7">
      <w:pPr>
        <w:pStyle w:val="DHHSbodynumbered"/>
      </w:pPr>
      <w:bookmarkStart w:id="82" w:name="_Toc22890857"/>
      <w:bookmarkStart w:id="83" w:name="_Toc29400824"/>
      <w:r w:rsidRPr="00A51CC9">
        <w:t xml:space="preserve">Acoustic </w:t>
      </w:r>
      <w:r w:rsidR="00453DD2" w:rsidRPr="00A51CC9">
        <w:t>privacy</w:t>
      </w:r>
      <w:bookmarkEnd w:id="82"/>
      <w:bookmarkEnd w:id="83"/>
    </w:p>
    <w:p w14:paraId="22288879" w14:textId="5689DE2B" w:rsidR="00B34136" w:rsidRPr="00A51CC9" w:rsidRDefault="00B34136">
      <w:pPr>
        <w:pStyle w:val="DHHSbodynumbered"/>
      </w:pPr>
      <w:r w:rsidRPr="00A51CC9">
        <w:t xml:space="preserve">Acoustic </w:t>
      </w:r>
      <w:r w:rsidR="0053705F" w:rsidRPr="00A51CC9">
        <w:t xml:space="preserve">privacy </w:t>
      </w:r>
      <w:r w:rsidRPr="00A51CC9">
        <w:t xml:space="preserve">between some spaces in a healthcare facility is important for patient confidentiality and to promote recovery and wellbeing. Acoustic separation requirements provided in this </w:t>
      </w:r>
      <w:r w:rsidR="0053705F" w:rsidRPr="00A51CC9">
        <w:t xml:space="preserve">guideline </w:t>
      </w:r>
      <w:r w:rsidRPr="00A51CC9">
        <w:t xml:space="preserve">have been determined on an individual case by case basis of adjacency. </w:t>
      </w:r>
    </w:p>
    <w:p w14:paraId="08085603" w14:textId="3AFD18EB" w:rsidR="00B34136" w:rsidRPr="00A51CC9" w:rsidRDefault="00EE28AB">
      <w:pPr>
        <w:pStyle w:val="DHHSbodynumbered"/>
      </w:pPr>
      <w:r>
        <w:t>T</w:t>
      </w:r>
      <w:r w:rsidRPr="00A51CC9">
        <w:t xml:space="preserve">hree parameters </w:t>
      </w:r>
      <w:r>
        <w:t xml:space="preserve">are </w:t>
      </w:r>
      <w:r w:rsidRPr="00A51CC9">
        <w:t xml:space="preserve">used </w:t>
      </w:r>
      <w:r>
        <w:t xml:space="preserve">to </w:t>
      </w:r>
      <w:r w:rsidR="00B34136" w:rsidRPr="00A51CC9">
        <w:t>determin</w:t>
      </w:r>
      <w:r>
        <w:t>e</w:t>
      </w:r>
      <w:r w:rsidR="00B34136" w:rsidRPr="00A51CC9">
        <w:t xml:space="preserve"> required acoustic separation levels,</w:t>
      </w:r>
      <w:r>
        <w:t xml:space="preserve">: </w:t>
      </w:r>
      <w:r w:rsidR="00B34136" w:rsidRPr="00A51CC9">
        <w:t xml:space="preserve">the source room noise level, the receiving room background noise level and the desired privacy level in the receiving room. Using these three parameters, a minimum sound level difference can be nominated for adequate acoustic privacy (this sound level difference is </w:t>
      </w:r>
      <w:r w:rsidR="008445D1" w:rsidRPr="004657F7">
        <w:t>‘</w:t>
      </w:r>
      <w:r w:rsidR="00B34136" w:rsidRPr="004657F7">
        <w:t>D</w:t>
      </w:r>
      <w:r w:rsidR="008445D1" w:rsidRPr="004657F7">
        <w:t>’</w:t>
      </w:r>
      <w:r w:rsidR="00B34136" w:rsidRPr="00A51CC9">
        <w:t xml:space="preserve"> in the </w:t>
      </w:r>
      <w:r>
        <w:t xml:space="preserve">following </w:t>
      </w:r>
      <w:r w:rsidR="00B34136" w:rsidRPr="00A51CC9">
        <w:t>formula</w:t>
      </w:r>
      <w:r>
        <w:t>11</w:t>
      </w:r>
      <w:r w:rsidR="00B34136" w:rsidRPr="00A51CC9">
        <w:t>).</w:t>
      </w:r>
    </w:p>
    <w:p w14:paraId="42D87294" w14:textId="303C1CE7" w:rsidR="00B34136" w:rsidRPr="00A51CC9" w:rsidRDefault="00B34136">
      <w:pPr>
        <w:pStyle w:val="DHHSbodynumbered"/>
      </w:pPr>
      <w:r w:rsidRPr="00A51CC9">
        <w:t xml:space="preserve">With the sound level difference determined for individual room adjacencies, the formula given in ISO 140.4-2006 can be used to determine the apparent sound reduction </w:t>
      </w:r>
      <w:r w:rsidR="009041D3">
        <w:t>(</w:t>
      </w:r>
      <w:r w:rsidRPr="00A51CC9">
        <w:t>R</w:t>
      </w:r>
      <w:r w:rsidR="009041D3">
        <w:t>’)</w:t>
      </w:r>
      <w:r w:rsidRPr="00A51CC9">
        <w:t xml:space="preserve"> of the required partition construction. </w:t>
      </w:r>
      <w:r w:rsidR="009041D3">
        <w:t>The</w:t>
      </w:r>
      <w:r w:rsidR="009041D3" w:rsidRPr="00A51CC9">
        <w:t xml:space="preserve"> </w:t>
      </w:r>
      <w:r w:rsidRPr="00A51CC9">
        <w:t>formula</w:t>
      </w:r>
      <w:r w:rsidR="009041D3">
        <w:t xml:space="preserve"> is</w:t>
      </w:r>
      <w:r w:rsidR="0072602D">
        <w:t>:</w:t>
      </w:r>
    </w:p>
    <w:p w14:paraId="04B0682B" w14:textId="5874DDD0" w:rsidR="00B34136" w:rsidRPr="00A51CC9" w:rsidRDefault="0072602D">
      <w:pPr>
        <w:pStyle w:val="DHHSbody"/>
        <w:ind w:left="709"/>
        <w:rPr>
          <w:rFonts w:ascii="Roboto" w:eastAsia="Times New Roman" w:hAnsi="Roboto"/>
        </w:rPr>
      </w:pPr>
      <w:r>
        <w:rPr>
          <w:rFonts w:ascii="Cambria Math" w:hAnsi="Cambria Math"/>
          <w:noProof/>
        </w:rPr>
        <w:drawing>
          <wp:inline distT="0" distB="0" distL="0" distR="0" wp14:anchorId="1E764B95" wp14:editId="05FCF940">
            <wp:extent cx="1895475" cy="549219"/>
            <wp:effectExtent l="0" t="0" r="0" b="3810"/>
            <wp:docPr id="2" name="Picture 2" descr="Apparent sound reduction (R') in decibels is D plus 10 multiplied by the log of (S over A). Refer to 6.131 for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nd-reduction-equation_2020-02-07.png"/>
                    <pic:cNvPicPr/>
                  </pic:nvPicPr>
                  <pic:blipFill>
                    <a:blip r:embed="rId22"/>
                    <a:stretch>
                      <a:fillRect/>
                    </a:stretch>
                  </pic:blipFill>
                  <pic:spPr>
                    <a:xfrm>
                      <a:off x="0" y="0"/>
                      <a:ext cx="1919991" cy="556322"/>
                    </a:xfrm>
                    <a:prstGeom prst="rect">
                      <a:avLst/>
                    </a:prstGeom>
                  </pic:spPr>
                </pic:pic>
              </a:graphicData>
            </a:graphic>
          </wp:inline>
        </w:drawing>
      </w:r>
    </w:p>
    <w:p w14:paraId="7E98E946" w14:textId="27475B92" w:rsidR="00B34136" w:rsidRPr="00A51CC9" w:rsidRDefault="00B34136">
      <w:pPr>
        <w:pStyle w:val="DHHSbullet1indent"/>
      </w:pPr>
      <w:r w:rsidRPr="00A51CC9">
        <w:t xml:space="preserve">D </w:t>
      </w:r>
      <w:r w:rsidR="009041D3">
        <w:t>is the</w:t>
      </w:r>
      <w:r w:rsidR="009041D3" w:rsidRPr="00A51CC9">
        <w:t xml:space="preserve"> </w:t>
      </w:r>
      <w:r w:rsidR="009041D3">
        <w:t>r</w:t>
      </w:r>
      <w:r w:rsidRPr="00A51CC9">
        <w:t>equired level difference (</w:t>
      </w:r>
      <w:r w:rsidR="009041D3">
        <w:t>r</w:t>
      </w:r>
      <w:r w:rsidRPr="00A51CC9">
        <w:t xml:space="preserve">efer to Reference </w:t>
      </w:r>
      <w:r w:rsidR="009041D3">
        <w:t>t</w:t>
      </w:r>
      <w:r w:rsidRPr="00A51CC9">
        <w:t>able 3)</w:t>
      </w:r>
    </w:p>
    <w:p w14:paraId="4B3A1059" w14:textId="7664704D" w:rsidR="00B34136" w:rsidRPr="00A51CC9" w:rsidRDefault="00B34136">
      <w:pPr>
        <w:pStyle w:val="DHHSbullet1indent"/>
      </w:pPr>
      <w:r w:rsidRPr="00A51CC9">
        <w:t xml:space="preserve">S </w:t>
      </w:r>
      <w:r w:rsidR="009041D3">
        <w:t>is the</w:t>
      </w:r>
      <w:r w:rsidRPr="00A51CC9">
        <w:t xml:space="preserve"> </w:t>
      </w:r>
      <w:r w:rsidR="009041D3">
        <w:t>a</w:t>
      </w:r>
      <w:r w:rsidRPr="00A51CC9">
        <w:t>rea of the separating element</w:t>
      </w:r>
    </w:p>
    <w:p w14:paraId="0D921228" w14:textId="44393455" w:rsidR="00B34136" w:rsidRPr="00A51CC9" w:rsidRDefault="00B34136">
      <w:pPr>
        <w:pStyle w:val="DHHSbullet1indent"/>
      </w:pPr>
      <w:r w:rsidRPr="00A51CC9">
        <w:t xml:space="preserve">A </w:t>
      </w:r>
      <w:r w:rsidR="009041D3">
        <w:t>is e</w:t>
      </w:r>
      <w:r w:rsidRPr="00A51CC9">
        <w:t>quivalent sound absorption in the receiving room</w:t>
      </w:r>
    </w:p>
    <w:p w14:paraId="37CF4A9E" w14:textId="5733DFF5" w:rsidR="00B34136" w:rsidRPr="00A51CC9" w:rsidRDefault="00B34136">
      <w:pPr>
        <w:pStyle w:val="DHHSbullet1indent"/>
      </w:pPr>
      <w:r w:rsidRPr="00A51CC9">
        <w:t xml:space="preserve">In calculating the </w:t>
      </w:r>
      <w:r w:rsidR="009041D3">
        <w:t>apparent sound reduction</w:t>
      </w:r>
      <w:r w:rsidRPr="00A51CC9">
        <w:t xml:space="preserve">, reference must be made to Reference </w:t>
      </w:r>
      <w:r w:rsidR="009041D3">
        <w:t>t</w:t>
      </w:r>
      <w:r w:rsidR="009041D3" w:rsidRPr="00A51CC9">
        <w:t xml:space="preserve">able </w:t>
      </w:r>
      <w:r w:rsidRPr="00A51CC9">
        <w:t>3</w:t>
      </w:r>
      <w:r w:rsidR="009041D3">
        <w:t>.</w:t>
      </w:r>
    </w:p>
    <w:p w14:paraId="266E712F" w14:textId="3EF348E6" w:rsidR="00B34136" w:rsidRPr="00690A0E" w:rsidRDefault="00B34136" w:rsidP="004657F7">
      <w:pPr>
        <w:pStyle w:val="Heading2"/>
      </w:pPr>
      <w:bookmarkStart w:id="84" w:name="_Toc22890858"/>
      <w:bookmarkStart w:id="85" w:name="_Toc29400825"/>
      <w:bookmarkStart w:id="86" w:name="_Toc42621657"/>
      <w:r w:rsidRPr="00A51CC9">
        <w:t xml:space="preserve">Rain </w:t>
      </w:r>
      <w:r w:rsidR="00453DD2" w:rsidRPr="00A51CC9">
        <w:t>noise</w:t>
      </w:r>
      <w:bookmarkEnd w:id="84"/>
      <w:bookmarkEnd w:id="85"/>
      <w:bookmarkEnd w:id="86"/>
    </w:p>
    <w:p w14:paraId="75F8CD1F" w14:textId="1E241D0F" w:rsidR="00B34136" w:rsidRPr="00A51CC9" w:rsidRDefault="00B34136">
      <w:pPr>
        <w:pStyle w:val="DHHSbodynumbered"/>
      </w:pPr>
      <w:r w:rsidRPr="00A51CC9">
        <w:t>Design of the external roof and ceiling constructions should be designed and constructed to meet the overall A-</w:t>
      </w:r>
      <w:r w:rsidR="0053705F" w:rsidRPr="00A51CC9">
        <w:t xml:space="preserve">weighted </w:t>
      </w:r>
      <w:r w:rsidRPr="00A51CC9">
        <w:t xml:space="preserve">number from the RC ratings in Reference </w:t>
      </w:r>
      <w:r w:rsidR="0053705F" w:rsidRPr="00A51CC9">
        <w:t xml:space="preserve">table </w:t>
      </w:r>
      <w:r w:rsidRPr="00A51CC9">
        <w:t xml:space="preserve">2 </w:t>
      </w:r>
      <w:r w:rsidR="00EE28AB">
        <w:t>plus</w:t>
      </w:r>
      <w:r w:rsidR="00EE28AB" w:rsidRPr="00A51CC9">
        <w:t xml:space="preserve"> </w:t>
      </w:r>
      <w:r w:rsidRPr="00A51CC9">
        <w:t>10</w:t>
      </w:r>
      <w:r w:rsidR="00EE28AB">
        <w:t xml:space="preserve"> decibels,</w:t>
      </w:r>
      <w:r w:rsidR="00EE28AB" w:rsidRPr="00A51CC9">
        <w:t xml:space="preserve"> </w:t>
      </w:r>
      <w:r w:rsidRPr="00A51CC9">
        <w:t xml:space="preserve">on the assumption the maximum rainfall intensity for </w:t>
      </w:r>
      <w:r w:rsidR="00EE28AB">
        <w:t>one</w:t>
      </w:r>
      <w:r w:rsidR="00EE28AB" w:rsidRPr="00A51CC9">
        <w:t xml:space="preserve"> </w:t>
      </w:r>
      <w:r w:rsidRPr="00A51CC9">
        <w:t>hour in a single year as given by the Bureau of Meteorology for the project location.</w:t>
      </w:r>
    </w:p>
    <w:p w14:paraId="64E20F2D" w14:textId="396677A6" w:rsidR="00B34136" w:rsidRDefault="00B34136" w:rsidP="004657F7">
      <w:pPr>
        <w:pStyle w:val="Heading2"/>
      </w:pPr>
      <w:bookmarkStart w:id="87" w:name="_Toc29400826"/>
      <w:bookmarkStart w:id="88" w:name="_Toc42621658"/>
      <w:r>
        <w:t xml:space="preserve">Atrium </w:t>
      </w:r>
      <w:r w:rsidR="00453DD2">
        <w:t>design</w:t>
      </w:r>
      <w:bookmarkEnd w:id="87"/>
      <w:bookmarkEnd w:id="88"/>
    </w:p>
    <w:p w14:paraId="4F6D275C" w14:textId="5883D279" w:rsidR="00B34136" w:rsidRDefault="00B34136">
      <w:pPr>
        <w:pStyle w:val="DHHSbodynumbered"/>
      </w:pPr>
      <w:r w:rsidRPr="00690A0E">
        <w:t xml:space="preserve">Acoustic requirements of the </w:t>
      </w:r>
      <w:r w:rsidR="0053705F" w:rsidRPr="00690A0E">
        <w:t xml:space="preserve">atrium </w:t>
      </w:r>
      <w:r w:rsidRPr="00690A0E">
        <w:t xml:space="preserve">will be in </w:t>
      </w:r>
      <w:r w:rsidR="00956BCD">
        <w:t>line</w:t>
      </w:r>
      <w:r w:rsidRPr="00690A0E">
        <w:t xml:space="preserve"> with AS/NZS2107</w:t>
      </w:r>
      <w:r w:rsidR="00EE28AB">
        <w:t xml:space="preserve"> (</w:t>
      </w:r>
      <w:r w:rsidRPr="00690A0E">
        <w:t xml:space="preserve">refer to </w:t>
      </w:r>
      <w:r w:rsidR="00A526AB">
        <w:t>Reference table</w:t>
      </w:r>
      <w:r w:rsidRPr="00690A0E">
        <w:t xml:space="preserve"> 1</w:t>
      </w:r>
      <w:r w:rsidR="00EE28AB">
        <w:t>).</w:t>
      </w:r>
    </w:p>
    <w:p w14:paraId="60FB4326" w14:textId="77777777" w:rsidR="007C161D" w:rsidRDefault="007C161D">
      <w:pPr>
        <w:rPr>
          <w:rFonts w:ascii="Arial" w:eastAsia="Calibri" w:hAnsi="Arial"/>
          <w:bCs/>
          <w:color w:val="0074BC" w:themeColor="text2"/>
          <w:sz w:val="44"/>
          <w:szCs w:val="44"/>
        </w:rPr>
      </w:pPr>
      <w:bookmarkStart w:id="89" w:name="_Toc29400827"/>
      <w:bookmarkStart w:id="90" w:name="_Toc22890859"/>
      <w:r>
        <w:rPr>
          <w:rFonts w:eastAsia="Calibri"/>
        </w:rPr>
        <w:br w:type="page"/>
      </w:r>
    </w:p>
    <w:p w14:paraId="73F04C73" w14:textId="432E4433" w:rsidR="00B34136" w:rsidRDefault="00B34136" w:rsidP="004657F7">
      <w:pPr>
        <w:pStyle w:val="Heading1"/>
        <w:rPr>
          <w:rFonts w:eastAsia="Calibri"/>
        </w:rPr>
      </w:pPr>
      <w:bookmarkStart w:id="91" w:name="_Toc42621659"/>
      <w:r>
        <w:rPr>
          <w:rFonts w:eastAsia="Calibri"/>
        </w:rPr>
        <w:lastRenderedPageBreak/>
        <w:t>Helipad</w:t>
      </w:r>
      <w:bookmarkEnd w:id="89"/>
      <w:bookmarkEnd w:id="91"/>
    </w:p>
    <w:p w14:paraId="64B1BFC7" w14:textId="77777777" w:rsidR="00B34136" w:rsidRDefault="00B34136" w:rsidP="004657F7">
      <w:pPr>
        <w:pStyle w:val="Heading2"/>
      </w:pPr>
      <w:bookmarkStart w:id="92" w:name="_Toc29400828"/>
      <w:bookmarkStart w:id="93" w:name="_Toc42621660"/>
      <w:r>
        <w:t>General</w:t>
      </w:r>
      <w:bookmarkEnd w:id="92"/>
      <w:bookmarkEnd w:id="93"/>
    </w:p>
    <w:p w14:paraId="121713A1" w14:textId="4B0AA138" w:rsidR="00B34136" w:rsidRDefault="00B34136">
      <w:pPr>
        <w:pStyle w:val="DHHSbodynumbered"/>
      </w:pPr>
      <w:r>
        <w:t xml:space="preserve">New and existing helipads are to be designed, operated and maintained in </w:t>
      </w:r>
      <w:r w:rsidR="00956BCD">
        <w:t>line</w:t>
      </w:r>
      <w:r>
        <w:t xml:space="preserve"> with</w:t>
      </w:r>
      <w:r w:rsidR="00EE28AB">
        <w:t xml:space="preserve"> the Department of Health and Human Services’ (the department)</w:t>
      </w:r>
      <w:r>
        <w:t xml:space="preserve"> 2015 </w:t>
      </w:r>
      <w:r w:rsidR="00EE28AB">
        <w:t>g</w:t>
      </w:r>
      <w:r>
        <w:t xml:space="preserve">uidelines for </w:t>
      </w:r>
      <w:r w:rsidR="0053705F">
        <w:t>helicopter medical transport landing sites</w:t>
      </w:r>
      <w:r>
        <w:t>.</w:t>
      </w:r>
    </w:p>
    <w:p w14:paraId="1A58D544" w14:textId="64EE06DF" w:rsidR="00B34136" w:rsidRDefault="00B34136">
      <w:pPr>
        <w:pStyle w:val="DHHSbodynumbered"/>
      </w:pPr>
      <w:r>
        <w:t xml:space="preserve">New helipads not built in </w:t>
      </w:r>
      <w:r w:rsidR="00956BCD">
        <w:t>line</w:t>
      </w:r>
      <w:r>
        <w:t xml:space="preserve"> with these guidelines may not be funded by the </w:t>
      </w:r>
      <w:r w:rsidR="00EE28AB">
        <w:t>d</w:t>
      </w:r>
      <w:r>
        <w:t>epartment or used by Ambulance Victoria.</w:t>
      </w:r>
    </w:p>
    <w:p w14:paraId="5CFA5A02" w14:textId="25E6045E" w:rsidR="00B34136" w:rsidRPr="00C70AA0" w:rsidRDefault="00B34136">
      <w:pPr>
        <w:pStyle w:val="DHHSbodynumbered"/>
      </w:pPr>
      <w:r>
        <w:t xml:space="preserve">For </w:t>
      </w:r>
      <w:r w:rsidR="008C7B06">
        <w:t xml:space="preserve">more </w:t>
      </w:r>
      <w:r>
        <w:t>information</w:t>
      </w:r>
      <w:r w:rsidR="008C7B06">
        <w:t>,</w:t>
      </w:r>
      <w:r>
        <w:t xml:space="preserve"> refer to</w:t>
      </w:r>
      <w:r w:rsidR="008C7B06">
        <w:t xml:space="preserve"> </w:t>
      </w:r>
      <w:hyperlink r:id="rId23" w:history="1">
        <w:r w:rsidR="00785D6D" w:rsidRPr="00785D6D">
          <w:rPr>
            <w:rStyle w:val="Hyperlink"/>
          </w:rPr>
          <w:t>DHHS’ Heliport guidelines 2015</w:t>
        </w:r>
      </w:hyperlink>
      <w:r w:rsidR="00785D6D">
        <w:t xml:space="preserve"> &lt;</w:t>
      </w:r>
      <w:r w:rsidR="00785D6D" w:rsidRPr="00785D6D">
        <w:t>http://www.capital.health.vic.gov.au/Asset_property_management_and_operations/Helicopter_landing_site_guidelines_2015</w:t>
      </w:r>
      <w:r w:rsidR="00785D6D">
        <w:t>&gt;</w:t>
      </w:r>
    </w:p>
    <w:p w14:paraId="5F30D198" w14:textId="17263C9A" w:rsidR="00B34136" w:rsidRPr="00A51CC9" w:rsidRDefault="00B34136" w:rsidP="004657F7">
      <w:pPr>
        <w:pStyle w:val="Heading2"/>
      </w:pPr>
      <w:bookmarkStart w:id="94" w:name="_Toc29400829"/>
      <w:bookmarkStart w:id="95" w:name="_Toc42621661"/>
      <w:r w:rsidRPr="00A51CC9">
        <w:t xml:space="preserve">Medical </w:t>
      </w:r>
      <w:r w:rsidR="00453DD2" w:rsidRPr="00A51CC9">
        <w:t>helicopter noise</w:t>
      </w:r>
      <w:bookmarkEnd w:id="94"/>
      <w:bookmarkEnd w:id="95"/>
    </w:p>
    <w:p w14:paraId="6EE59DDD" w14:textId="04426245" w:rsidR="00B34136" w:rsidRDefault="00B34136">
      <w:pPr>
        <w:pStyle w:val="DHHSbodynumbered"/>
      </w:pPr>
      <w:r w:rsidRPr="00A51CC9">
        <w:t xml:space="preserve">Internal noise from medical helicopter operations should comply with the levels listed in the </w:t>
      </w:r>
      <w:r w:rsidR="0072602D">
        <w:t xml:space="preserve">following </w:t>
      </w:r>
      <w:r w:rsidRPr="00A51CC9">
        <w:t>table.</w:t>
      </w:r>
    </w:p>
    <w:p w14:paraId="63A1F945" w14:textId="62A26EA0" w:rsidR="00B052CD" w:rsidRDefault="00B052CD" w:rsidP="00041640">
      <w:pPr>
        <w:pStyle w:val="DHHStablecaption"/>
      </w:pPr>
      <w:r>
        <w:t xml:space="preserve">Table </w:t>
      </w:r>
      <w:fldSimple w:instr=" SEQ Table \* ARABIC ">
        <w:r w:rsidR="00FA51EE">
          <w:rPr>
            <w:noProof/>
          </w:rPr>
          <w:t>2</w:t>
        </w:r>
      </w:fldSimple>
      <w:r>
        <w:t>: Internal noise levels from medical helicopter operations</w:t>
      </w:r>
    </w:p>
    <w:tbl>
      <w:tblPr>
        <w:tblStyle w:val="TableGrid"/>
        <w:tblW w:w="0" w:type="auto"/>
        <w:tblLook w:val="04A0" w:firstRow="1" w:lastRow="0" w:firstColumn="1" w:lastColumn="0" w:noHBand="0" w:noVBand="1"/>
      </w:tblPr>
      <w:tblGrid>
        <w:gridCol w:w="5699"/>
        <w:gridCol w:w="3481"/>
      </w:tblGrid>
      <w:tr w:rsidR="0072602D" w14:paraId="5788CCD6" w14:textId="77777777" w:rsidTr="0072602D">
        <w:trPr>
          <w:cnfStyle w:val="100000000000" w:firstRow="1" w:lastRow="0" w:firstColumn="0" w:lastColumn="0" w:oddVBand="0" w:evenVBand="0" w:oddHBand="0" w:evenHBand="0" w:firstRowFirstColumn="0" w:firstRowLastColumn="0" w:lastRowFirstColumn="0" w:lastRowLastColumn="0"/>
          <w:tblHeader/>
        </w:trPr>
        <w:tc>
          <w:tcPr>
            <w:tcW w:w="5699" w:type="dxa"/>
          </w:tcPr>
          <w:p w14:paraId="6515F948" w14:textId="6A741864" w:rsidR="0072602D" w:rsidRDefault="0072602D">
            <w:pPr>
              <w:pStyle w:val="DHHStablecolhead"/>
            </w:pPr>
            <w:r>
              <w:t>Space</w:t>
            </w:r>
          </w:p>
        </w:tc>
        <w:tc>
          <w:tcPr>
            <w:tcW w:w="3481" w:type="dxa"/>
          </w:tcPr>
          <w:p w14:paraId="170936D2" w14:textId="66708508" w:rsidR="0072602D" w:rsidRDefault="0072602D">
            <w:pPr>
              <w:pStyle w:val="DHHStablecolhead"/>
            </w:pPr>
            <w:r>
              <w:t xml:space="preserve">Internal noise level – dB </w:t>
            </w:r>
            <w:proofErr w:type="spellStart"/>
            <w:r>
              <w:t>LA</w:t>
            </w:r>
            <w:r w:rsidRPr="0072602D">
              <w:rPr>
                <w:vertAlign w:val="subscript"/>
              </w:rPr>
              <w:t>Max</w:t>
            </w:r>
            <w:proofErr w:type="spellEnd"/>
            <w:r w:rsidRPr="0072602D">
              <w:rPr>
                <w:vertAlign w:val="subscript"/>
              </w:rPr>
              <w:t>(Slow)</w:t>
            </w:r>
          </w:p>
        </w:tc>
      </w:tr>
      <w:tr w:rsidR="0072602D" w14:paraId="6D3F24BD" w14:textId="77777777" w:rsidTr="0072602D">
        <w:tc>
          <w:tcPr>
            <w:tcW w:w="5699" w:type="dxa"/>
          </w:tcPr>
          <w:p w14:paraId="36271093" w14:textId="4EC7983A" w:rsidR="0072602D" w:rsidRDefault="0072602D" w:rsidP="007C161D">
            <w:pPr>
              <w:pStyle w:val="DHHStabletext"/>
            </w:pPr>
            <w:r>
              <w:t>Wards and bereavement rooms</w:t>
            </w:r>
          </w:p>
        </w:tc>
        <w:tc>
          <w:tcPr>
            <w:tcW w:w="3481" w:type="dxa"/>
          </w:tcPr>
          <w:p w14:paraId="13B3A149" w14:textId="42A3D3DC" w:rsidR="0072602D" w:rsidRDefault="0072602D">
            <w:pPr>
              <w:pStyle w:val="DHHStabletext"/>
            </w:pPr>
            <w:r>
              <w:t>65</w:t>
            </w:r>
          </w:p>
        </w:tc>
      </w:tr>
      <w:tr w:rsidR="0072602D" w14:paraId="52B769FE" w14:textId="77777777" w:rsidTr="0072602D">
        <w:tc>
          <w:tcPr>
            <w:tcW w:w="5699" w:type="dxa"/>
          </w:tcPr>
          <w:p w14:paraId="4380EB58" w14:textId="0758B83D" w:rsidR="0072602D" w:rsidRDefault="0072602D" w:rsidP="007C161D">
            <w:pPr>
              <w:pStyle w:val="DHHStabletext"/>
            </w:pPr>
            <w:r>
              <w:t>Office areas</w:t>
            </w:r>
          </w:p>
        </w:tc>
        <w:tc>
          <w:tcPr>
            <w:tcW w:w="3481" w:type="dxa"/>
          </w:tcPr>
          <w:p w14:paraId="43D1625D" w14:textId="3121340B" w:rsidR="0072602D" w:rsidRDefault="0072602D">
            <w:pPr>
              <w:pStyle w:val="DHHStabletext"/>
            </w:pPr>
            <w:r>
              <w:t>70</w:t>
            </w:r>
          </w:p>
        </w:tc>
      </w:tr>
      <w:tr w:rsidR="0072602D" w14:paraId="6C9A2E28" w14:textId="77777777" w:rsidTr="0072602D">
        <w:tc>
          <w:tcPr>
            <w:tcW w:w="5699" w:type="dxa"/>
          </w:tcPr>
          <w:p w14:paraId="67CA68E1" w14:textId="108A9FCD" w:rsidR="0072602D" w:rsidRDefault="0072602D" w:rsidP="007C161D">
            <w:pPr>
              <w:pStyle w:val="DHHStabletext"/>
            </w:pPr>
            <w:r>
              <w:t>Meeting rooms</w:t>
            </w:r>
          </w:p>
        </w:tc>
        <w:tc>
          <w:tcPr>
            <w:tcW w:w="3481" w:type="dxa"/>
          </w:tcPr>
          <w:p w14:paraId="5B266FC1" w14:textId="798CF13B" w:rsidR="0072602D" w:rsidRDefault="0072602D">
            <w:pPr>
              <w:pStyle w:val="DHHStabletext"/>
            </w:pPr>
            <w:r>
              <w:t>70</w:t>
            </w:r>
          </w:p>
        </w:tc>
      </w:tr>
      <w:tr w:rsidR="0072602D" w14:paraId="73D5B2D9" w14:textId="77777777" w:rsidTr="0072602D">
        <w:tc>
          <w:tcPr>
            <w:tcW w:w="5699" w:type="dxa"/>
          </w:tcPr>
          <w:p w14:paraId="0EE2A59C" w14:textId="559102F3" w:rsidR="0072602D" w:rsidRDefault="0072602D" w:rsidP="007C161D">
            <w:pPr>
              <w:pStyle w:val="DHHStabletext"/>
            </w:pPr>
            <w:r>
              <w:t>Corridors, public area, reception</w:t>
            </w:r>
          </w:p>
        </w:tc>
        <w:tc>
          <w:tcPr>
            <w:tcW w:w="3481" w:type="dxa"/>
          </w:tcPr>
          <w:p w14:paraId="27F818A1" w14:textId="0A99B196" w:rsidR="0072602D" w:rsidRDefault="0072602D">
            <w:pPr>
              <w:pStyle w:val="DHHStabletext"/>
            </w:pPr>
            <w:r>
              <w:t>70</w:t>
            </w:r>
          </w:p>
        </w:tc>
      </w:tr>
      <w:tr w:rsidR="0072602D" w14:paraId="6C42E559" w14:textId="77777777" w:rsidTr="0072602D">
        <w:tc>
          <w:tcPr>
            <w:tcW w:w="5699" w:type="dxa"/>
          </w:tcPr>
          <w:p w14:paraId="011C72BA" w14:textId="106FEC82" w:rsidR="0072602D" w:rsidRDefault="0072602D" w:rsidP="007C161D">
            <w:pPr>
              <w:pStyle w:val="DHHStabletext"/>
            </w:pPr>
            <w:r>
              <w:t>Operating theatres</w:t>
            </w:r>
          </w:p>
        </w:tc>
        <w:tc>
          <w:tcPr>
            <w:tcW w:w="3481" w:type="dxa"/>
          </w:tcPr>
          <w:p w14:paraId="3B69FE05" w14:textId="5B837925" w:rsidR="0072602D" w:rsidRDefault="0072602D">
            <w:pPr>
              <w:pStyle w:val="DHHStabletext"/>
            </w:pPr>
            <w:r>
              <w:t>65</w:t>
            </w:r>
          </w:p>
        </w:tc>
      </w:tr>
      <w:tr w:rsidR="0072602D" w14:paraId="18EBCB9D" w14:textId="77777777" w:rsidTr="0072602D">
        <w:tc>
          <w:tcPr>
            <w:tcW w:w="5699" w:type="dxa"/>
          </w:tcPr>
          <w:p w14:paraId="1693E67B" w14:textId="4A977F23" w:rsidR="0072602D" w:rsidRDefault="0072602D" w:rsidP="007C161D">
            <w:pPr>
              <w:pStyle w:val="DHHStabletext"/>
            </w:pPr>
            <w:r>
              <w:t>Consultation, procedure, examination and labourites</w:t>
            </w:r>
          </w:p>
        </w:tc>
        <w:tc>
          <w:tcPr>
            <w:tcW w:w="3481" w:type="dxa"/>
          </w:tcPr>
          <w:p w14:paraId="42FDAD3D" w14:textId="4AA72C02" w:rsidR="0072602D" w:rsidRDefault="0072602D">
            <w:pPr>
              <w:pStyle w:val="DHHStabletext"/>
            </w:pPr>
            <w:r>
              <w:t>65</w:t>
            </w:r>
          </w:p>
        </w:tc>
      </w:tr>
    </w:tbl>
    <w:p w14:paraId="45ADBC2E" w14:textId="73C35336" w:rsidR="00B34136" w:rsidRDefault="00B34136" w:rsidP="004657F7">
      <w:pPr>
        <w:pStyle w:val="Heading2"/>
      </w:pPr>
      <w:bookmarkStart w:id="96" w:name="_Toc29400830"/>
      <w:bookmarkStart w:id="97" w:name="_Toc42621662"/>
      <w:r>
        <w:t xml:space="preserve">Ventilation </w:t>
      </w:r>
      <w:r w:rsidR="00453DD2">
        <w:t>systems</w:t>
      </w:r>
      <w:bookmarkEnd w:id="96"/>
      <w:bookmarkEnd w:id="97"/>
    </w:p>
    <w:p w14:paraId="3518FD70" w14:textId="54365408" w:rsidR="00B34136" w:rsidRDefault="00B34136">
      <w:pPr>
        <w:pStyle w:val="DHHSbodynumbered"/>
      </w:pPr>
      <w:r w:rsidRPr="002F6A88">
        <w:t>In hospitals where helicopter operations occur</w:t>
      </w:r>
      <w:r w:rsidR="00EE28AB">
        <w:t>,</w:t>
      </w:r>
      <w:r w:rsidRPr="002F6A88">
        <w:t xml:space="preserve"> care will be taken to ensure that outside air inlets are clear of helipads and the rotor air currents with entrained jet exhaust. Where this is unavoidable, considerations should be given to carbon filters or temporary closing of outside air intakes through motorised dampers</w:t>
      </w:r>
      <w:r w:rsidR="00A526AB">
        <w:t xml:space="preserve"> (or both)</w:t>
      </w:r>
      <w:r w:rsidRPr="002F6A88">
        <w:t xml:space="preserve">. </w:t>
      </w:r>
    </w:p>
    <w:p w14:paraId="1ABF8B87" w14:textId="77777777" w:rsidR="00B34136" w:rsidRDefault="00B34136">
      <w:pPr>
        <w:pStyle w:val="DHHSbodynumbered"/>
      </w:pPr>
      <w:r>
        <w:t xml:space="preserve">Where </w:t>
      </w:r>
      <w:r w:rsidRPr="002F6A88">
        <w:t xml:space="preserve">carbon filters are adopted, there </w:t>
      </w:r>
      <w:r>
        <w:t>will</w:t>
      </w:r>
      <w:r w:rsidRPr="002F6A88">
        <w:t xml:space="preserve"> be a bypass for normal operation. </w:t>
      </w:r>
    </w:p>
    <w:p w14:paraId="41588BB7" w14:textId="6E6F78C3" w:rsidR="00B34136" w:rsidRPr="002F6A88" w:rsidRDefault="00B34136">
      <w:pPr>
        <w:pStyle w:val="DHHSbodynumbered"/>
      </w:pPr>
      <w:r>
        <w:t xml:space="preserve">Where </w:t>
      </w:r>
      <w:r w:rsidRPr="002F6A88">
        <w:t xml:space="preserve">closing of outside intakes is adopted, measures </w:t>
      </w:r>
      <w:r>
        <w:t>will</w:t>
      </w:r>
      <w:r w:rsidRPr="002F6A88">
        <w:t xml:space="preserve"> be taken to ensure that areas with pressure regime controls are maintained</w:t>
      </w:r>
      <w:r w:rsidR="00EE28AB">
        <w:t>. O</w:t>
      </w:r>
      <w:r w:rsidRPr="002F6A88">
        <w:t>ne possible method may</w:t>
      </w:r>
      <w:r w:rsidR="00EE28AB">
        <w:t xml:space="preserve"> </w:t>
      </w:r>
      <w:r w:rsidRPr="002F6A88">
        <w:t>be to increase the exhaust quantities in the more negatively pressured areas.</w:t>
      </w:r>
      <w:r w:rsidR="00785D6D">
        <w:t xml:space="preserve"> </w:t>
      </w:r>
    </w:p>
    <w:p w14:paraId="7CF4C4DE" w14:textId="4578C7AD" w:rsidR="00B34136" w:rsidRDefault="00B34136">
      <w:pPr>
        <w:pStyle w:val="DHHSbodynumbered"/>
      </w:pPr>
      <w:r>
        <w:t>Designers will consider the use of computer fluid dynamic analysis or wind tunnel analysis of air mo</w:t>
      </w:r>
      <w:r w:rsidR="00EE28AB">
        <w:t>vem</w:t>
      </w:r>
      <w:r>
        <w:t>ent from the helipad to establish the likelihood of air entrainment into ventilation intakes to inform the appropriate design solution.</w:t>
      </w:r>
    </w:p>
    <w:p w14:paraId="55316D3C" w14:textId="17BD9D3B" w:rsidR="00B34136" w:rsidRDefault="00B34136" w:rsidP="004657F7">
      <w:pPr>
        <w:pStyle w:val="Heading2"/>
      </w:pPr>
      <w:bookmarkStart w:id="98" w:name="_Toc29400831"/>
      <w:bookmarkStart w:id="99" w:name="_Toc42621663"/>
      <w:r>
        <w:t xml:space="preserve">Fire </w:t>
      </w:r>
      <w:r w:rsidR="00453DD2">
        <w:t>services</w:t>
      </w:r>
      <w:bookmarkEnd w:id="98"/>
      <w:bookmarkEnd w:id="99"/>
    </w:p>
    <w:p w14:paraId="643888E9" w14:textId="69DED8EB" w:rsidR="00B34136" w:rsidRDefault="00B34136">
      <w:pPr>
        <w:pStyle w:val="DHHSbodynumbered"/>
      </w:pPr>
      <w:r w:rsidRPr="00922A0A">
        <w:t xml:space="preserve">Helipads will be designed with fire suppression systems to suit the specific hazard, </w:t>
      </w:r>
      <w:r w:rsidR="00EE28AB">
        <w:t>such as</w:t>
      </w:r>
      <w:r w:rsidRPr="00922A0A">
        <w:t xml:space="preserve"> Civil </w:t>
      </w:r>
      <w:r w:rsidR="00EE28AB" w:rsidRPr="00922A0A">
        <w:t xml:space="preserve">aviation advisory publication </w:t>
      </w:r>
      <w:r w:rsidRPr="00922A0A">
        <w:t>92-4 and NFPA 418.</w:t>
      </w:r>
    </w:p>
    <w:p w14:paraId="67E944FC" w14:textId="77777777" w:rsidR="00B34136" w:rsidRPr="00922A0A" w:rsidRDefault="00B34136" w:rsidP="004657F7">
      <w:pPr>
        <w:pStyle w:val="Heading2"/>
      </w:pPr>
      <w:bookmarkStart w:id="100" w:name="_Toc29400832"/>
      <w:bookmarkStart w:id="101" w:name="_Toc42621664"/>
      <w:r>
        <w:lastRenderedPageBreak/>
        <w:t>Drainage</w:t>
      </w:r>
      <w:bookmarkEnd w:id="100"/>
      <w:bookmarkEnd w:id="101"/>
    </w:p>
    <w:p w14:paraId="7B08586D" w14:textId="77777777" w:rsidR="00B34136" w:rsidRDefault="00B34136">
      <w:pPr>
        <w:pStyle w:val="DHHSbodynumbered"/>
      </w:pPr>
      <w:r w:rsidRPr="00922A0A">
        <w:t>Helipad drainage systems will incorporate appropriate trade waste capture and storage.</w:t>
      </w:r>
    </w:p>
    <w:p w14:paraId="0A35487C" w14:textId="6902FAE8" w:rsidR="00B34136" w:rsidRDefault="00B34136" w:rsidP="004657F7">
      <w:pPr>
        <w:pStyle w:val="Heading2"/>
      </w:pPr>
      <w:bookmarkStart w:id="102" w:name="_Toc29400833"/>
      <w:bookmarkStart w:id="103" w:name="_Toc42621665"/>
      <w:r>
        <w:t xml:space="preserve">Bulk </w:t>
      </w:r>
      <w:r w:rsidR="00453DD2">
        <w:t>storage cylinders</w:t>
      </w:r>
      <w:bookmarkEnd w:id="102"/>
      <w:bookmarkEnd w:id="103"/>
    </w:p>
    <w:p w14:paraId="392A6C54" w14:textId="7B86939E" w:rsidR="00B34136" w:rsidRDefault="00B34136">
      <w:pPr>
        <w:pStyle w:val="DHHSbodynumbered"/>
      </w:pPr>
      <w:r>
        <w:t xml:space="preserve">Inflammable hospital gases </w:t>
      </w:r>
      <w:r w:rsidR="00A526AB">
        <w:t>(</w:t>
      </w:r>
      <w:r>
        <w:t>such as bulk storage LPG and oxygen cylinders</w:t>
      </w:r>
      <w:r w:rsidR="00A526AB">
        <w:t xml:space="preserve"> or </w:t>
      </w:r>
      <w:r>
        <w:t>containers</w:t>
      </w:r>
      <w:r w:rsidR="00A526AB">
        <w:t>)</w:t>
      </w:r>
      <w:r>
        <w:t xml:space="preserve"> are not to be positioned below the VFR approach</w:t>
      </w:r>
      <w:r w:rsidR="00EE28AB">
        <w:t xml:space="preserve"> and </w:t>
      </w:r>
      <w:r>
        <w:t>departure paths and will be at least 30</w:t>
      </w:r>
      <w:r w:rsidR="00A526AB">
        <w:t xml:space="preserve"> </w:t>
      </w:r>
      <w:r>
        <w:t>m</w:t>
      </w:r>
      <w:r w:rsidR="00A526AB">
        <w:t>etres</w:t>
      </w:r>
      <w:r>
        <w:t xml:space="preserve"> beyond the flight path and safety area boundary.</w:t>
      </w:r>
    </w:p>
    <w:p w14:paraId="2B8A9D98" w14:textId="3E828455" w:rsidR="00B34136" w:rsidRPr="00AA3D11" w:rsidRDefault="00B34136" w:rsidP="004657F7">
      <w:pPr>
        <w:pStyle w:val="Heading2"/>
      </w:pPr>
      <w:bookmarkStart w:id="104" w:name="_Toc29400834"/>
      <w:bookmarkStart w:id="105" w:name="_Toc42621666"/>
      <w:r w:rsidRPr="00AA3D11">
        <w:t xml:space="preserve">Design and </w:t>
      </w:r>
      <w:r w:rsidR="00453DD2" w:rsidRPr="00AA3D11">
        <w:t>construction advice</w:t>
      </w:r>
      <w:bookmarkEnd w:id="104"/>
      <w:bookmarkEnd w:id="105"/>
      <w:r w:rsidR="00453DD2" w:rsidRPr="00AA3D11">
        <w:t xml:space="preserve"> </w:t>
      </w:r>
    </w:p>
    <w:p w14:paraId="204B6743" w14:textId="77777777" w:rsidR="00D13D48" w:rsidRPr="00D13D48" w:rsidRDefault="00B34136">
      <w:pPr>
        <w:pStyle w:val="DHHSbodynumbered"/>
      </w:pPr>
      <w:r w:rsidRPr="00EB0321">
        <w:t>It will be necessary for design</w:t>
      </w:r>
      <w:r>
        <w:t>ers</w:t>
      </w:r>
      <w:r w:rsidRPr="00EB0321">
        <w:t xml:space="preserve"> for each </w:t>
      </w:r>
      <w:r>
        <w:t>helicopter landing site</w:t>
      </w:r>
      <w:r w:rsidRPr="00EB0321">
        <w:t xml:space="preserve"> projec</w:t>
      </w:r>
      <w:r>
        <w:t>t</w:t>
      </w:r>
      <w:r w:rsidRPr="00EB0321">
        <w:t xml:space="preserve"> to work closely with an aviation advisor with sound knowledge of helicopter operations, in particular </w:t>
      </w:r>
      <w:r>
        <w:t>hospital emergency medical services</w:t>
      </w:r>
      <w:r w:rsidRPr="00EB0321">
        <w:t xml:space="preserve"> and helicopter landing site requirements. Close contact with the aviation advisor throughout the project will ensure that costly mistakes do not occur.</w:t>
      </w:r>
      <w:r w:rsidRPr="00EB0321">
        <w:rPr>
          <w:rFonts w:eastAsia="Calibri"/>
        </w:rPr>
        <w:t xml:space="preserve"> </w:t>
      </w:r>
    </w:p>
    <w:p w14:paraId="7FCCAA34" w14:textId="2142F205" w:rsidR="00B34136" w:rsidRPr="00EB0321" w:rsidRDefault="00B34136">
      <w:pPr>
        <w:pStyle w:val="DHHSbodynumbered"/>
      </w:pPr>
      <w:r w:rsidRPr="00EB0321">
        <w:rPr>
          <w:rFonts w:eastAsia="Calibri"/>
        </w:rPr>
        <w:br w:type="page"/>
      </w:r>
    </w:p>
    <w:p w14:paraId="69AA92DC" w14:textId="77777777" w:rsidR="00B34136" w:rsidRPr="00690A0E" w:rsidRDefault="00B34136" w:rsidP="004657F7">
      <w:pPr>
        <w:pStyle w:val="Heading1"/>
        <w:rPr>
          <w:rFonts w:eastAsia="Calibri"/>
        </w:rPr>
      </w:pPr>
      <w:bookmarkStart w:id="106" w:name="_Toc29400835"/>
      <w:bookmarkStart w:id="107" w:name="_Toc42621667"/>
      <w:r w:rsidRPr="00690A0E">
        <w:rPr>
          <w:rFonts w:eastAsia="Calibri"/>
        </w:rPr>
        <w:lastRenderedPageBreak/>
        <w:t>Structural</w:t>
      </w:r>
      <w:bookmarkEnd w:id="90"/>
      <w:bookmarkEnd w:id="106"/>
      <w:bookmarkEnd w:id="107"/>
    </w:p>
    <w:p w14:paraId="4FD0F96F" w14:textId="457BD059" w:rsidR="00B34136" w:rsidRPr="00690A0E" w:rsidRDefault="00B34136" w:rsidP="004657F7">
      <w:pPr>
        <w:pStyle w:val="Heading2"/>
      </w:pPr>
      <w:bookmarkStart w:id="108" w:name="_Toc22890860"/>
      <w:bookmarkStart w:id="109" w:name="_Toc29400836"/>
      <w:bookmarkStart w:id="110" w:name="_Toc42621668"/>
      <w:r w:rsidRPr="00690A0E">
        <w:t xml:space="preserve">Minimum </w:t>
      </w:r>
      <w:r w:rsidR="00453DD2" w:rsidRPr="00690A0E">
        <w:t>requirements</w:t>
      </w:r>
      <w:bookmarkEnd w:id="108"/>
      <w:bookmarkEnd w:id="109"/>
      <w:bookmarkEnd w:id="110"/>
    </w:p>
    <w:p w14:paraId="1EFDE64D" w14:textId="77777777" w:rsidR="00B34136" w:rsidRPr="00690A0E" w:rsidRDefault="00B34136">
      <w:pPr>
        <w:pStyle w:val="DHHSbodynumbered"/>
      </w:pPr>
      <w:r w:rsidRPr="00690A0E">
        <w:t xml:space="preserve">The structure </w:t>
      </w:r>
      <w:r>
        <w:t>will</w:t>
      </w:r>
      <w:r w:rsidRPr="00690A0E">
        <w:t xml:space="preserve"> be designed, as a minimum, to comply with:</w:t>
      </w:r>
    </w:p>
    <w:p w14:paraId="0D78DCAF" w14:textId="70849661" w:rsidR="00B34136" w:rsidRPr="00690A0E" w:rsidRDefault="00B34136">
      <w:pPr>
        <w:pStyle w:val="DHHSbullet1indent"/>
      </w:pPr>
      <w:r w:rsidRPr="00690A0E">
        <w:t xml:space="preserve">all relevant </w:t>
      </w:r>
      <w:r w:rsidR="0053705F" w:rsidRPr="00690A0E">
        <w:t xml:space="preserve">standards </w:t>
      </w:r>
    </w:p>
    <w:p w14:paraId="70B6EEB4" w14:textId="2F70191D" w:rsidR="00B34136" w:rsidRPr="00690A0E" w:rsidRDefault="00B34136">
      <w:pPr>
        <w:pStyle w:val="DHHSbullet1indent"/>
      </w:pPr>
      <w:r w:rsidRPr="00690A0E">
        <w:t>all relevant Regulations</w:t>
      </w:r>
      <w:r w:rsidR="00EE28AB">
        <w:t xml:space="preserve"> and l</w:t>
      </w:r>
      <w:r w:rsidRPr="00690A0E">
        <w:t>egislation</w:t>
      </w:r>
    </w:p>
    <w:p w14:paraId="34F05405" w14:textId="2498728F" w:rsidR="00B34136" w:rsidRPr="00690A0E" w:rsidRDefault="00B34136">
      <w:pPr>
        <w:pStyle w:val="DHHSbullet1indent"/>
      </w:pPr>
      <w:r w:rsidRPr="00690A0E">
        <w:t xml:space="preserve">specific </w:t>
      </w:r>
      <w:r w:rsidR="0053705F" w:rsidRPr="00690A0E">
        <w:t>project brief</w:t>
      </w:r>
      <w:r w:rsidR="00EE28AB">
        <w:t>s</w:t>
      </w:r>
    </w:p>
    <w:p w14:paraId="02D41B90" w14:textId="076FA966" w:rsidR="00B34136" w:rsidRPr="00690A0E" w:rsidRDefault="00B34136">
      <w:pPr>
        <w:pStyle w:val="DHHSbullet1indent"/>
      </w:pPr>
      <w:r w:rsidRPr="00690A0E">
        <w:t>Building Code of Australia</w:t>
      </w:r>
    </w:p>
    <w:p w14:paraId="1E320B54" w14:textId="643D9049" w:rsidR="00B34136" w:rsidRPr="00690A0E" w:rsidRDefault="00B34136">
      <w:pPr>
        <w:pStyle w:val="DHHSbullet1indent"/>
      </w:pPr>
      <w:r w:rsidRPr="00690A0E">
        <w:t xml:space="preserve">these Engineering </w:t>
      </w:r>
      <w:r w:rsidR="0053705F" w:rsidRPr="00690A0E">
        <w:t>guidelines</w:t>
      </w:r>
      <w:r w:rsidRPr="00690A0E">
        <w:t>.</w:t>
      </w:r>
    </w:p>
    <w:p w14:paraId="109C6136" w14:textId="666D1809" w:rsidR="00B34136" w:rsidRPr="00690A0E" w:rsidRDefault="00B34136" w:rsidP="004657F7">
      <w:pPr>
        <w:pStyle w:val="Heading2"/>
      </w:pPr>
      <w:bookmarkStart w:id="111" w:name="_Toc22890861"/>
      <w:bookmarkStart w:id="112" w:name="_Toc29400837"/>
      <w:bookmarkStart w:id="113" w:name="_Toc42621669"/>
      <w:r w:rsidRPr="00690A0E">
        <w:t xml:space="preserve">Cost </w:t>
      </w:r>
      <w:r w:rsidR="00453DD2" w:rsidRPr="00690A0E">
        <w:t>effectiveness</w:t>
      </w:r>
      <w:bookmarkEnd w:id="111"/>
      <w:bookmarkEnd w:id="112"/>
      <w:bookmarkEnd w:id="113"/>
    </w:p>
    <w:p w14:paraId="5A4A06D2" w14:textId="7BB0F2B8" w:rsidR="00B34136" w:rsidRPr="00690A0E" w:rsidRDefault="00B34136">
      <w:pPr>
        <w:pStyle w:val="DHHSbodynumbered"/>
      </w:pPr>
      <w:r w:rsidRPr="00690A0E">
        <w:t xml:space="preserve">It is the policy of </w:t>
      </w:r>
      <w:r w:rsidR="00785D6D" w:rsidRPr="00690A0E">
        <w:t xml:space="preserve">the </w:t>
      </w:r>
      <w:r w:rsidR="00785D6D">
        <w:t>department</w:t>
      </w:r>
      <w:r w:rsidRPr="00690A0E">
        <w:t xml:space="preserve"> to actively encourage the design and construction of health facilities for the minimum cost </w:t>
      </w:r>
      <w:r w:rsidR="00EE28AB">
        <w:t xml:space="preserve">and </w:t>
      </w:r>
      <w:r w:rsidRPr="00690A0E">
        <w:t xml:space="preserve">consistent with the minimum requirements set out in </w:t>
      </w:r>
      <w:r w:rsidR="00785D6D" w:rsidRPr="00690A0E">
        <w:t xml:space="preserve">benchmark and guidelines </w:t>
      </w:r>
      <w:r w:rsidRPr="00690A0E">
        <w:t>reference documents. The following principles have been adopted to achieve this objective:</w:t>
      </w:r>
    </w:p>
    <w:p w14:paraId="64F48017" w14:textId="4E5C6DD6" w:rsidR="00B34136" w:rsidRPr="00690A0E" w:rsidRDefault="00785D6D">
      <w:pPr>
        <w:pStyle w:val="DHHSbullet1indent"/>
      </w:pPr>
      <w:r w:rsidRPr="00690A0E">
        <w:t xml:space="preserve">various structural systems </w:t>
      </w:r>
      <w:r>
        <w:t>will</w:t>
      </w:r>
      <w:r w:rsidRPr="00690A0E">
        <w:t xml:space="preserve"> be considered and the most cost-effective system adopted</w:t>
      </w:r>
    </w:p>
    <w:p w14:paraId="12E2D3C4" w14:textId="2BC3A3F1" w:rsidR="00B34136" w:rsidRPr="00690A0E" w:rsidRDefault="00785D6D">
      <w:pPr>
        <w:pStyle w:val="DHHSbullet1indent"/>
      </w:pPr>
      <w:r w:rsidRPr="00690A0E">
        <w:t xml:space="preserve">design contingencies </w:t>
      </w:r>
      <w:r>
        <w:t>will</w:t>
      </w:r>
      <w:r w:rsidRPr="00690A0E">
        <w:t xml:space="preserve"> be approved by the department</w:t>
      </w:r>
    </w:p>
    <w:p w14:paraId="22E2BEC7" w14:textId="4AEE8149" w:rsidR="00B34136" w:rsidRPr="00690A0E" w:rsidRDefault="00785D6D">
      <w:pPr>
        <w:pStyle w:val="DHHSbullet1indent"/>
      </w:pPr>
      <w:r w:rsidRPr="00690A0E">
        <w:t xml:space="preserve">future proofing and planning flexibility </w:t>
      </w:r>
      <w:r w:rsidR="00EE28AB">
        <w:t>that</w:t>
      </w:r>
      <w:r w:rsidR="00EE28AB" w:rsidRPr="00690A0E">
        <w:t xml:space="preserve"> </w:t>
      </w:r>
      <w:r w:rsidRPr="00690A0E">
        <w:t xml:space="preserve">involve additional costs </w:t>
      </w:r>
      <w:r>
        <w:t>will</w:t>
      </w:r>
      <w:r w:rsidRPr="00690A0E">
        <w:t xml:space="preserve"> be approved by the department </w:t>
      </w:r>
    </w:p>
    <w:p w14:paraId="6FBD9116" w14:textId="3983B896" w:rsidR="00B34136" w:rsidRPr="00690A0E" w:rsidRDefault="00785D6D">
      <w:pPr>
        <w:pStyle w:val="DHHSbullet1indent"/>
      </w:pPr>
      <w:r w:rsidRPr="00690A0E">
        <w:t>minimum loading requirements may be adopted</w:t>
      </w:r>
    </w:p>
    <w:p w14:paraId="5673ED0E" w14:textId="65AA5F0A" w:rsidR="00B34136" w:rsidRPr="00690A0E" w:rsidRDefault="00785D6D">
      <w:pPr>
        <w:pStyle w:val="DHHSbullet1indent"/>
      </w:pPr>
      <w:r w:rsidRPr="00690A0E">
        <w:t>rationalised and repetitive structural systems are most likely to be more cost effective</w:t>
      </w:r>
    </w:p>
    <w:p w14:paraId="385A19DD" w14:textId="21E62989" w:rsidR="00B34136" w:rsidRPr="00690A0E" w:rsidRDefault="00785D6D">
      <w:pPr>
        <w:pStyle w:val="DHHSbullet1indent"/>
      </w:pPr>
      <w:r w:rsidRPr="00690A0E">
        <w:t>standardised structural details and connections are recommended to be adopted</w:t>
      </w:r>
    </w:p>
    <w:p w14:paraId="739EFCB6" w14:textId="3F996C52" w:rsidR="00B34136" w:rsidRPr="00690A0E" w:rsidRDefault="00785D6D">
      <w:pPr>
        <w:pStyle w:val="DHHSbullet1indent"/>
      </w:pPr>
      <w:r w:rsidRPr="00690A0E">
        <w:t xml:space="preserve">services integration </w:t>
      </w:r>
      <w:r>
        <w:t>will</w:t>
      </w:r>
      <w:r w:rsidRPr="00690A0E">
        <w:t xml:space="preserve"> be considered</w:t>
      </w:r>
    </w:p>
    <w:p w14:paraId="3551D29F" w14:textId="3AE29F7E" w:rsidR="00B34136" w:rsidRPr="00690A0E" w:rsidRDefault="00EE28AB">
      <w:pPr>
        <w:pStyle w:val="DHHSbullet1indent"/>
      </w:pPr>
      <w:r>
        <w:t xml:space="preserve">it is recommended that </w:t>
      </w:r>
      <w:r w:rsidR="00785D6D" w:rsidRPr="00690A0E">
        <w:t>prefabrication and modularisation be considered</w:t>
      </w:r>
    </w:p>
    <w:p w14:paraId="1F09E505" w14:textId="75E17B1B" w:rsidR="00B34136" w:rsidRPr="00690A0E" w:rsidRDefault="00EE28AB">
      <w:pPr>
        <w:pStyle w:val="DHHSbullet1indent"/>
      </w:pPr>
      <w:r>
        <w:t xml:space="preserve">it is recommended that </w:t>
      </w:r>
      <w:r w:rsidR="00785D6D" w:rsidRPr="00690A0E">
        <w:t xml:space="preserve">rigorous commercial approaches and practices </w:t>
      </w:r>
      <w:r w:rsidR="00B34136" w:rsidRPr="00690A0E">
        <w:t>be adopted.</w:t>
      </w:r>
    </w:p>
    <w:p w14:paraId="59A3C0B0" w14:textId="3EAF0427" w:rsidR="00B34136" w:rsidRPr="00690A0E" w:rsidRDefault="00B34136">
      <w:pPr>
        <w:pStyle w:val="DHHSbodynumbered"/>
      </w:pPr>
      <w:r w:rsidRPr="00690A0E">
        <w:t xml:space="preserve">Where possible, </w:t>
      </w:r>
      <w:r w:rsidR="00EE28AB">
        <w:t xml:space="preserve">it is recommended that </w:t>
      </w:r>
      <w:r w:rsidRPr="00690A0E">
        <w:t xml:space="preserve">the design and construction of the structure offer maximum opportunity </w:t>
      </w:r>
      <w:r w:rsidR="00FA51EE">
        <w:t>to</w:t>
      </w:r>
      <w:r w:rsidR="00FA51EE" w:rsidRPr="00690A0E">
        <w:t xml:space="preserve"> </w:t>
      </w:r>
      <w:r w:rsidRPr="00690A0E">
        <w:t>local trades, materials and Australian products.</w:t>
      </w:r>
    </w:p>
    <w:p w14:paraId="7A2411E6" w14:textId="5B3F0FC1" w:rsidR="00B34136" w:rsidRPr="00690A0E" w:rsidRDefault="00B34136" w:rsidP="004657F7">
      <w:pPr>
        <w:pStyle w:val="Heading2"/>
      </w:pPr>
      <w:bookmarkStart w:id="114" w:name="_Toc22890862"/>
      <w:bookmarkStart w:id="115" w:name="_Toc29400838"/>
      <w:bookmarkStart w:id="116" w:name="_Toc42621670"/>
      <w:r w:rsidRPr="00690A0E">
        <w:t xml:space="preserve">Competence </w:t>
      </w:r>
      <w:r w:rsidR="00785D6D">
        <w:t xml:space="preserve">and </w:t>
      </w:r>
      <w:r w:rsidR="00453DD2" w:rsidRPr="00690A0E">
        <w:t>certification</w:t>
      </w:r>
      <w:bookmarkEnd w:id="114"/>
      <w:bookmarkEnd w:id="115"/>
      <w:bookmarkEnd w:id="116"/>
    </w:p>
    <w:p w14:paraId="54CFAF52" w14:textId="0F4604EC" w:rsidR="00B34136" w:rsidRPr="00690A0E" w:rsidRDefault="00B34136">
      <w:pPr>
        <w:pStyle w:val="DHHSbodynumbered"/>
      </w:pPr>
      <w:r w:rsidRPr="00690A0E">
        <w:t xml:space="preserve">The </w:t>
      </w:r>
      <w:r w:rsidR="0053705F" w:rsidRPr="00690A0E">
        <w:t xml:space="preserve">department </w:t>
      </w:r>
      <w:r w:rsidRPr="00690A0E">
        <w:t>has the authority to require an independent review of the structural design if deemed necessary.</w:t>
      </w:r>
      <w:r w:rsidR="00785D6D">
        <w:t xml:space="preserve"> </w:t>
      </w:r>
    </w:p>
    <w:p w14:paraId="3E85C5EA" w14:textId="47D347BD" w:rsidR="00B34136" w:rsidRPr="00690A0E" w:rsidRDefault="00B34136">
      <w:pPr>
        <w:pStyle w:val="DHHSbodynumbered"/>
      </w:pPr>
      <w:r w:rsidRPr="00690A0E">
        <w:t xml:space="preserve">Design calculations and assumptions may be requested by </w:t>
      </w:r>
      <w:r w:rsidR="00FA51EE">
        <w:t>a</w:t>
      </w:r>
      <w:r w:rsidR="00FA51EE" w:rsidRPr="00690A0E">
        <w:t xml:space="preserve"> </w:t>
      </w:r>
      <w:r w:rsidRPr="00690A0E">
        <w:t xml:space="preserve">commissioned independent consultant to verify the structural adequacy and </w:t>
      </w:r>
      <w:r>
        <w:t>will</w:t>
      </w:r>
      <w:r w:rsidRPr="00690A0E">
        <w:t xml:space="preserve"> be made available as required.</w:t>
      </w:r>
      <w:r w:rsidR="00785D6D">
        <w:t xml:space="preserve"> </w:t>
      </w:r>
      <w:r w:rsidRPr="00690A0E">
        <w:t>Copies of legible calculations are acceptable.</w:t>
      </w:r>
    </w:p>
    <w:p w14:paraId="2D0675C7" w14:textId="15832E9F" w:rsidR="00B34136" w:rsidRPr="00690A0E" w:rsidRDefault="00B34136" w:rsidP="004657F7">
      <w:pPr>
        <w:pStyle w:val="Heading2"/>
      </w:pPr>
      <w:bookmarkStart w:id="117" w:name="_Toc22890863"/>
      <w:bookmarkStart w:id="118" w:name="_Toc29400839"/>
      <w:bookmarkStart w:id="119" w:name="_Toc42621671"/>
      <w:r w:rsidRPr="00690A0E">
        <w:t xml:space="preserve">Structural </w:t>
      </w:r>
      <w:r w:rsidR="00453DD2" w:rsidRPr="00690A0E">
        <w:t>design</w:t>
      </w:r>
      <w:bookmarkEnd w:id="117"/>
      <w:bookmarkEnd w:id="118"/>
      <w:bookmarkEnd w:id="119"/>
    </w:p>
    <w:p w14:paraId="6BE12FFA" w14:textId="06443F8A" w:rsidR="00B34136" w:rsidRPr="00690A0E" w:rsidRDefault="00B34136" w:rsidP="004657F7">
      <w:pPr>
        <w:pStyle w:val="Heading3"/>
      </w:pPr>
      <w:r w:rsidRPr="00690A0E">
        <w:t xml:space="preserve">Design </w:t>
      </w:r>
      <w:r w:rsidR="00453DD2" w:rsidRPr="00690A0E">
        <w:t>life</w:t>
      </w:r>
    </w:p>
    <w:p w14:paraId="38FA7E1C" w14:textId="0F73FDA6" w:rsidR="00B34136" w:rsidRPr="00690A0E" w:rsidRDefault="00B34136">
      <w:pPr>
        <w:pStyle w:val="DHHSbodynumbered"/>
      </w:pPr>
      <w:r w:rsidRPr="00690A0E">
        <w:t xml:space="preserve">The structure </w:t>
      </w:r>
      <w:r>
        <w:t>will</w:t>
      </w:r>
      <w:r w:rsidRPr="00690A0E">
        <w:t xml:space="preserve"> be designed to provide a projected building life equivalent to either the anticipated useful life of the facility or 50 years, whichever is greater.</w:t>
      </w:r>
    </w:p>
    <w:p w14:paraId="7CC4CE69" w14:textId="3C1BAB51" w:rsidR="00B34136" w:rsidRPr="00690A0E" w:rsidRDefault="00B34136" w:rsidP="004657F7">
      <w:pPr>
        <w:pStyle w:val="Heading3"/>
      </w:pPr>
      <w:r w:rsidRPr="00690A0E">
        <w:t xml:space="preserve">Importance </w:t>
      </w:r>
      <w:r w:rsidR="00453DD2" w:rsidRPr="00690A0E">
        <w:t xml:space="preserve">level </w:t>
      </w:r>
      <w:r w:rsidRPr="00690A0E">
        <w:t>(IL)</w:t>
      </w:r>
    </w:p>
    <w:p w14:paraId="252F94F9" w14:textId="6FD67091" w:rsidR="00B34136" w:rsidRPr="00690A0E" w:rsidRDefault="00B34136">
      <w:pPr>
        <w:pStyle w:val="DHHSbodynumbered"/>
      </w:pPr>
      <w:r w:rsidRPr="00690A0E">
        <w:t xml:space="preserve">The structure </w:t>
      </w:r>
      <w:r>
        <w:t>will</w:t>
      </w:r>
      <w:r w:rsidRPr="00690A0E">
        <w:t xml:space="preserve"> be designed for an IL3 or IL4, as appropriately determined in </w:t>
      </w:r>
      <w:r w:rsidR="00956BCD">
        <w:t>line</w:t>
      </w:r>
      <w:r w:rsidRPr="00690A0E">
        <w:t xml:space="preserve"> with BCA requirements and confirmed by the relevant </w:t>
      </w:r>
      <w:r w:rsidR="00FA51EE" w:rsidRPr="00690A0E">
        <w:t>building surveyor</w:t>
      </w:r>
      <w:r w:rsidRPr="00690A0E">
        <w:t>.</w:t>
      </w:r>
    </w:p>
    <w:p w14:paraId="2D72CDA1" w14:textId="23097346" w:rsidR="00B34136" w:rsidRPr="00690A0E" w:rsidRDefault="00B34136" w:rsidP="004657F7">
      <w:pPr>
        <w:pStyle w:val="Heading3"/>
      </w:pPr>
      <w:r w:rsidRPr="00690A0E">
        <w:lastRenderedPageBreak/>
        <w:t xml:space="preserve">Design </w:t>
      </w:r>
      <w:r w:rsidR="00B052CD" w:rsidRPr="00690A0E">
        <w:t>loads</w:t>
      </w:r>
    </w:p>
    <w:p w14:paraId="284763AB" w14:textId="10A94B69" w:rsidR="00B34136" w:rsidRPr="00690A0E" w:rsidRDefault="00B34136">
      <w:pPr>
        <w:pStyle w:val="DHHSbodynumbered"/>
      </w:pPr>
      <w:r w:rsidRPr="00690A0E">
        <w:t xml:space="preserve">The structure </w:t>
      </w:r>
      <w:r>
        <w:t>will</w:t>
      </w:r>
      <w:r w:rsidRPr="00690A0E">
        <w:t xml:space="preserve"> be designed to be capable of sustaining the greater design load from:</w:t>
      </w:r>
    </w:p>
    <w:p w14:paraId="55C76A37" w14:textId="2D81EEBA" w:rsidR="00B34136" w:rsidRPr="00690A0E" w:rsidRDefault="00B34136">
      <w:pPr>
        <w:pStyle w:val="DHHSbullet1indent"/>
      </w:pPr>
      <w:r w:rsidRPr="00690A0E">
        <w:t xml:space="preserve">loading code </w:t>
      </w:r>
      <w:r w:rsidR="00A526AB">
        <w:t xml:space="preserve">AS </w:t>
      </w:r>
      <w:r w:rsidRPr="00690A0E">
        <w:t>1170</w:t>
      </w:r>
    </w:p>
    <w:p w14:paraId="5E42AAAD" w14:textId="397A35F8" w:rsidR="00B34136" w:rsidRPr="00690A0E" w:rsidRDefault="00B34136">
      <w:pPr>
        <w:pStyle w:val="DHHSbullet1indent"/>
      </w:pPr>
      <w:r w:rsidRPr="00690A0E">
        <w:t>actual loads determined by the consultant</w:t>
      </w:r>
      <w:r w:rsidR="00FA51EE">
        <w:t xml:space="preserve"> – a</w:t>
      </w:r>
      <w:r w:rsidRPr="00690A0E">
        <w:t xml:space="preserve">ppropriate allowances </w:t>
      </w:r>
      <w:r>
        <w:t>will</w:t>
      </w:r>
      <w:r w:rsidRPr="00690A0E">
        <w:t xml:space="preserve"> also be made for access ways, aisles or spaces where heavy equipment loads may be located or moved during construction, installation or commissioning</w:t>
      </w:r>
    </w:p>
    <w:p w14:paraId="3E9AA1DD" w14:textId="00D1B76A" w:rsidR="00B34136" w:rsidRDefault="00B34136">
      <w:pPr>
        <w:pStyle w:val="DHHSbullet1indent"/>
      </w:pPr>
      <w:r w:rsidRPr="00690A0E">
        <w:t>the following table</w:t>
      </w:r>
      <w:r w:rsidR="00B052CD">
        <w:t xml:space="preserve">s. </w:t>
      </w:r>
    </w:p>
    <w:p w14:paraId="04F569E2" w14:textId="188B8519" w:rsidR="00B052CD" w:rsidRDefault="00B052CD" w:rsidP="004657F7">
      <w:pPr>
        <w:pStyle w:val="DHHStablecaption"/>
      </w:pPr>
      <w:r>
        <w:t xml:space="preserve">Table </w:t>
      </w:r>
      <w:fldSimple w:instr=" SEQ Table \* ARABIC ">
        <w:r w:rsidR="00FA51EE">
          <w:rPr>
            <w:noProof/>
          </w:rPr>
          <w:t>3</w:t>
        </w:r>
      </w:fldSimple>
      <w:r>
        <w:t>: Live load</w:t>
      </w:r>
    </w:p>
    <w:tbl>
      <w:tblPr>
        <w:tblStyle w:val="TableGrid"/>
        <w:tblW w:w="0" w:type="auto"/>
        <w:tblLook w:val="04A0" w:firstRow="1" w:lastRow="0" w:firstColumn="1" w:lastColumn="0" w:noHBand="0" w:noVBand="1"/>
      </w:tblPr>
      <w:tblGrid>
        <w:gridCol w:w="3060"/>
        <w:gridCol w:w="3060"/>
        <w:gridCol w:w="3060"/>
      </w:tblGrid>
      <w:tr w:rsidR="00B052CD" w14:paraId="48A1E823" w14:textId="77777777" w:rsidTr="004657F7">
        <w:trPr>
          <w:cnfStyle w:val="100000000000" w:firstRow="1" w:lastRow="0" w:firstColumn="0" w:lastColumn="0" w:oddVBand="0" w:evenVBand="0" w:oddHBand="0" w:evenHBand="0" w:firstRowFirstColumn="0" w:firstRowLastColumn="0" w:lastRowFirstColumn="0" w:lastRowLastColumn="0"/>
          <w:tblHeader/>
        </w:trPr>
        <w:tc>
          <w:tcPr>
            <w:tcW w:w="3060" w:type="dxa"/>
          </w:tcPr>
          <w:p w14:paraId="2B763B7B" w14:textId="2D1C2D62" w:rsidR="00B052CD" w:rsidRDefault="00B052CD" w:rsidP="004657F7">
            <w:pPr>
              <w:pStyle w:val="DHHStablecolhead"/>
            </w:pPr>
            <w:r>
              <w:t>Are</w:t>
            </w:r>
          </w:p>
        </w:tc>
        <w:tc>
          <w:tcPr>
            <w:tcW w:w="3060" w:type="dxa"/>
          </w:tcPr>
          <w:p w14:paraId="71D4AD41" w14:textId="6BD5B9F7" w:rsidR="00B052CD" w:rsidRDefault="00B052CD" w:rsidP="004657F7">
            <w:pPr>
              <w:pStyle w:val="DHHStablecolhead"/>
            </w:pPr>
            <w:r>
              <w:t>Element</w:t>
            </w:r>
          </w:p>
        </w:tc>
        <w:tc>
          <w:tcPr>
            <w:tcW w:w="3060" w:type="dxa"/>
          </w:tcPr>
          <w:p w14:paraId="07079313" w14:textId="7E0A9284" w:rsidR="00B052CD" w:rsidRDefault="00B052CD" w:rsidP="004657F7">
            <w:pPr>
              <w:pStyle w:val="DHHStablecolhead"/>
            </w:pPr>
            <w:r>
              <w:t>Minimum loading condition</w:t>
            </w:r>
          </w:p>
        </w:tc>
      </w:tr>
      <w:tr w:rsidR="00B052CD" w14:paraId="67D9D68A" w14:textId="77777777" w:rsidTr="004657F7">
        <w:tc>
          <w:tcPr>
            <w:tcW w:w="3060" w:type="dxa"/>
          </w:tcPr>
          <w:p w14:paraId="06537550" w14:textId="71A7A1B3" w:rsidR="00B052CD" w:rsidRDefault="00B052CD" w:rsidP="004657F7">
            <w:pPr>
              <w:pStyle w:val="DHHStabletext"/>
            </w:pPr>
            <w:r w:rsidRPr="00BA138A">
              <w:t>Plant rooms, waste holding areas, bulk stores, film stores</w:t>
            </w:r>
          </w:p>
        </w:tc>
        <w:tc>
          <w:tcPr>
            <w:tcW w:w="3060" w:type="dxa"/>
          </w:tcPr>
          <w:p w14:paraId="4AC8356F" w14:textId="46F35074" w:rsidR="00B052CD" w:rsidRDefault="00B052CD" w:rsidP="004657F7">
            <w:pPr>
              <w:pStyle w:val="DHHStabletext"/>
            </w:pPr>
            <w:r w:rsidRPr="00BA138A">
              <w:t>Floor</w:t>
            </w:r>
          </w:p>
        </w:tc>
        <w:tc>
          <w:tcPr>
            <w:tcW w:w="3060" w:type="dxa"/>
          </w:tcPr>
          <w:p w14:paraId="7DB6C614" w14:textId="7F6258DD" w:rsidR="00B052CD" w:rsidRDefault="00B052CD" w:rsidP="004657F7">
            <w:pPr>
              <w:pStyle w:val="DHHStabletext"/>
            </w:pPr>
            <w:r w:rsidRPr="00BA138A">
              <w:t>7.5 kPa</w:t>
            </w:r>
          </w:p>
        </w:tc>
      </w:tr>
      <w:tr w:rsidR="00B052CD" w14:paraId="58E8757D" w14:textId="77777777" w:rsidTr="00B052CD">
        <w:tc>
          <w:tcPr>
            <w:tcW w:w="3060" w:type="dxa"/>
          </w:tcPr>
          <w:p w14:paraId="01A6BABD" w14:textId="76C89F6F" w:rsidR="00B052CD" w:rsidRPr="00BA138A" w:rsidRDefault="00B052CD" w:rsidP="007C161D">
            <w:pPr>
              <w:pStyle w:val="DHHStabletext"/>
            </w:pPr>
            <w:r w:rsidRPr="00BA138A">
              <w:t>Medical records</w:t>
            </w:r>
          </w:p>
        </w:tc>
        <w:tc>
          <w:tcPr>
            <w:tcW w:w="3060" w:type="dxa"/>
          </w:tcPr>
          <w:p w14:paraId="74569E94" w14:textId="6080A52B" w:rsidR="00B052CD" w:rsidRPr="00BA138A" w:rsidRDefault="00B052CD">
            <w:pPr>
              <w:pStyle w:val="DHHStabletext"/>
            </w:pPr>
            <w:r w:rsidRPr="00BA138A">
              <w:t>Floor</w:t>
            </w:r>
          </w:p>
        </w:tc>
        <w:tc>
          <w:tcPr>
            <w:tcW w:w="3060" w:type="dxa"/>
          </w:tcPr>
          <w:p w14:paraId="3A0E7D44" w14:textId="424D3A96" w:rsidR="00B052CD" w:rsidRPr="00BA138A" w:rsidRDefault="00B052CD">
            <w:pPr>
              <w:pStyle w:val="DHHStabletext"/>
            </w:pPr>
            <w:r w:rsidRPr="00BA138A">
              <w:t>10.0 kPa</w:t>
            </w:r>
          </w:p>
        </w:tc>
      </w:tr>
      <w:tr w:rsidR="00B052CD" w14:paraId="6C66AA01" w14:textId="77777777" w:rsidTr="00B052CD">
        <w:tc>
          <w:tcPr>
            <w:tcW w:w="3060" w:type="dxa"/>
          </w:tcPr>
          <w:p w14:paraId="08C11CD0" w14:textId="3994E9B1" w:rsidR="00B052CD" w:rsidRPr="00BA138A" w:rsidRDefault="00B052CD" w:rsidP="007C161D">
            <w:pPr>
              <w:pStyle w:val="DHHStabletext"/>
            </w:pPr>
            <w:r w:rsidRPr="00BA138A">
              <w:t>Stores, kitchens, scullery, catering, dirty utility, CSSD</w:t>
            </w:r>
          </w:p>
        </w:tc>
        <w:tc>
          <w:tcPr>
            <w:tcW w:w="3060" w:type="dxa"/>
          </w:tcPr>
          <w:p w14:paraId="737B0D95" w14:textId="20D5F28F" w:rsidR="00B052CD" w:rsidRPr="00BA138A" w:rsidRDefault="00B052CD">
            <w:pPr>
              <w:pStyle w:val="DHHStabletext"/>
            </w:pPr>
            <w:r w:rsidRPr="00BA138A">
              <w:t>Floor</w:t>
            </w:r>
          </w:p>
        </w:tc>
        <w:tc>
          <w:tcPr>
            <w:tcW w:w="3060" w:type="dxa"/>
          </w:tcPr>
          <w:p w14:paraId="52C50BE8" w14:textId="4AC727D3" w:rsidR="00B052CD" w:rsidRPr="00BA138A" w:rsidRDefault="00B052CD">
            <w:pPr>
              <w:pStyle w:val="DHHStabletext"/>
            </w:pPr>
            <w:r w:rsidRPr="00BA138A">
              <w:t>5.0 kPa</w:t>
            </w:r>
          </w:p>
        </w:tc>
      </w:tr>
      <w:tr w:rsidR="00B052CD" w14:paraId="3482A213" w14:textId="77777777" w:rsidTr="00B052CD">
        <w:tc>
          <w:tcPr>
            <w:tcW w:w="3060" w:type="dxa"/>
          </w:tcPr>
          <w:p w14:paraId="6EAC5688" w14:textId="12908B3F" w:rsidR="00B052CD" w:rsidRPr="00BA138A" w:rsidRDefault="00B052CD" w:rsidP="007C161D">
            <w:pPr>
              <w:pStyle w:val="DHHStabletext"/>
            </w:pPr>
            <w:r w:rsidRPr="00BA138A">
              <w:t>Dairy, bulk food cool rooms, loading dock, roadways</w:t>
            </w:r>
          </w:p>
        </w:tc>
        <w:tc>
          <w:tcPr>
            <w:tcW w:w="3060" w:type="dxa"/>
          </w:tcPr>
          <w:p w14:paraId="6480A274" w14:textId="4E3AA948" w:rsidR="00B052CD" w:rsidRPr="00BA138A" w:rsidRDefault="00B052CD">
            <w:pPr>
              <w:pStyle w:val="DHHStabletext"/>
            </w:pPr>
            <w:r w:rsidRPr="00BA138A">
              <w:t>Floor</w:t>
            </w:r>
          </w:p>
        </w:tc>
        <w:tc>
          <w:tcPr>
            <w:tcW w:w="3060" w:type="dxa"/>
          </w:tcPr>
          <w:p w14:paraId="35E53081" w14:textId="3B7D0E3E" w:rsidR="00B052CD" w:rsidRPr="00BA138A" w:rsidRDefault="00B052CD">
            <w:pPr>
              <w:pStyle w:val="DHHStabletext"/>
            </w:pPr>
            <w:r w:rsidRPr="00BA138A">
              <w:t>15 kPa</w:t>
            </w:r>
          </w:p>
        </w:tc>
      </w:tr>
      <w:tr w:rsidR="00B052CD" w14:paraId="1C084DD6" w14:textId="77777777" w:rsidTr="00B052CD">
        <w:tc>
          <w:tcPr>
            <w:tcW w:w="3060" w:type="dxa"/>
          </w:tcPr>
          <w:p w14:paraId="576223B6" w14:textId="059EBADA" w:rsidR="00B052CD" w:rsidRPr="00BA138A" w:rsidRDefault="00B052CD" w:rsidP="007C161D">
            <w:pPr>
              <w:pStyle w:val="DHHStabletext"/>
            </w:pPr>
            <w:r w:rsidRPr="00BA138A">
              <w:t>Medical imaging, ultrasound unit</w:t>
            </w:r>
          </w:p>
        </w:tc>
        <w:tc>
          <w:tcPr>
            <w:tcW w:w="3060" w:type="dxa"/>
          </w:tcPr>
          <w:p w14:paraId="6B00D89A" w14:textId="3572E1D6" w:rsidR="00B052CD" w:rsidRPr="00BA138A" w:rsidRDefault="00B052CD">
            <w:pPr>
              <w:pStyle w:val="DHHStabletext"/>
            </w:pPr>
            <w:r w:rsidRPr="00BA138A">
              <w:t>Underside of slab over/ceiling structure</w:t>
            </w:r>
          </w:p>
        </w:tc>
        <w:tc>
          <w:tcPr>
            <w:tcW w:w="3060" w:type="dxa"/>
          </w:tcPr>
          <w:p w14:paraId="1A8283D5" w14:textId="134EA1C4" w:rsidR="00B052CD" w:rsidRPr="00BA138A" w:rsidRDefault="00B052CD">
            <w:pPr>
              <w:pStyle w:val="DHHStabletext"/>
            </w:pPr>
            <w:r w:rsidRPr="00BA138A">
              <w:t>One moving load of 10kN anywhere</w:t>
            </w:r>
          </w:p>
        </w:tc>
      </w:tr>
      <w:tr w:rsidR="00B052CD" w14:paraId="2E579BA1" w14:textId="77777777" w:rsidTr="00B052CD">
        <w:tc>
          <w:tcPr>
            <w:tcW w:w="3060" w:type="dxa"/>
          </w:tcPr>
          <w:p w14:paraId="035354C5" w14:textId="71FA4AD3" w:rsidR="00B052CD" w:rsidRPr="00BA138A" w:rsidRDefault="00B052CD" w:rsidP="007C161D">
            <w:pPr>
              <w:pStyle w:val="DHHStabletext"/>
            </w:pPr>
            <w:r w:rsidRPr="00BA138A">
              <w:t>Operating theatres</w:t>
            </w:r>
          </w:p>
        </w:tc>
        <w:tc>
          <w:tcPr>
            <w:tcW w:w="3060" w:type="dxa"/>
          </w:tcPr>
          <w:p w14:paraId="2EE7AA76" w14:textId="2A156A9A" w:rsidR="00B052CD" w:rsidRPr="00BA138A" w:rsidRDefault="00B052CD">
            <w:pPr>
              <w:pStyle w:val="DHHStabletext"/>
            </w:pPr>
            <w:r w:rsidRPr="00BA138A">
              <w:t>Underside of slab over/ceiling structure</w:t>
            </w:r>
          </w:p>
        </w:tc>
        <w:tc>
          <w:tcPr>
            <w:tcW w:w="3060" w:type="dxa"/>
          </w:tcPr>
          <w:p w14:paraId="088340BF" w14:textId="12A769CB" w:rsidR="00B052CD" w:rsidRPr="00BA138A" w:rsidRDefault="00B052CD">
            <w:pPr>
              <w:pStyle w:val="DHHStabletext"/>
            </w:pPr>
            <w:r w:rsidRPr="00BA138A">
              <w:t>Minimum of 8 number of 5kN loads located anywhere</w:t>
            </w:r>
          </w:p>
        </w:tc>
      </w:tr>
    </w:tbl>
    <w:p w14:paraId="17065824" w14:textId="60101185" w:rsidR="00B052CD" w:rsidRDefault="00B052CD" w:rsidP="004657F7">
      <w:pPr>
        <w:pStyle w:val="DHHStablecaption"/>
      </w:pPr>
      <w:r>
        <w:t xml:space="preserve">Table </w:t>
      </w:r>
      <w:fldSimple w:instr=" SEQ Table \* ARABIC ">
        <w:r w:rsidR="00FA51EE">
          <w:rPr>
            <w:noProof/>
          </w:rPr>
          <w:t>4</w:t>
        </w:r>
      </w:fldSimple>
      <w:r>
        <w:t>: Superimposed dead load</w:t>
      </w:r>
    </w:p>
    <w:tbl>
      <w:tblPr>
        <w:tblStyle w:val="TableGrid"/>
        <w:tblW w:w="0" w:type="auto"/>
        <w:tblLook w:val="04A0" w:firstRow="1" w:lastRow="0" w:firstColumn="1" w:lastColumn="0" w:noHBand="0" w:noVBand="1"/>
      </w:tblPr>
      <w:tblGrid>
        <w:gridCol w:w="3060"/>
        <w:gridCol w:w="3060"/>
        <w:gridCol w:w="3060"/>
      </w:tblGrid>
      <w:tr w:rsidR="00B052CD" w14:paraId="76EC1699" w14:textId="77777777" w:rsidTr="007C161D">
        <w:trPr>
          <w:cnfStyle w:val="100000000000" w:firstRow="1" w:lastRow="0" w:firstColumn="0" w:lastColumn="0" w:oddVBand="0" w:evenVBand="0" w:oddHBand="0" w:evenHBand="0" w:firstRowFirstColumn="0" w:firstRowLastColumn="0" w:lastRowFirstColumn="0" w:lastRowLastColumn="0"/>
          <w:tblHeader/>
        </w:trPr>
        <w:tc>
          <w:tcPr>
            <w:tcW w:w="3060" w:type="dxa"/>
          </w:tcPr>
          <w:p w14:paraId="5E269581" w14:textId="77777777" w:rsidR="00B052CD" w:rsidRDefault="00B052CD">
            <w:pPr>
              <w:pStyle w:val="DHHStablecolhead"/>
            </w:pPr>
            <w:r>
              <w:t>Are</w:t>
            </w:r>
          </w:p>
        </w:tc>
        <w:tc>
          <w:tcPr>
            <w:tcW w:w="3060" w:type="dxa"/>
          </w:tcPr>
          <w:p w14:paraId="09426091" w14:textId="77777777" w:rsidR="00B052CD" w:rsidRDefault="00B052CD">
            <w:pPr>
              <w:pStyle w:val="DHHStablecolhead"/>
            </w:pPr>
            <w:r>
              <w:t>Element</w:t>
            </w:r>
          </w:p>
        </w:tc>
        <w:tc>
          <w:tcPr>
            <w:tcW w:w="3060" w:type="dxa"/>
          </w:tcPr>
          <w:p w14:paraId="527F40F7" w14:textId="77777777" w:rsidR="00B052CD" w:rsidRDefault="00B052CD">
            <w:pPr>
              <w:pStyle w:val="DHHStablecolhead"/>
            </w:pPr>
            <w:r>
              <w:t>Minimum loading condition</w:t>
            </w:r>
          </w:p>
        </w:tc>
      </w:tr>
      <w:tr w:rsidR="00B052CD" w14:paraId="68165D77" w14:textId="77777777" w:rsidTr="007C161D">
        <w:tc>
          <w:tcPr>
            <w:tcW w:w="3060" w:type="dxa"/>
          </w:tcPr>
          <w:p w14:paraId="5A2BE7BD" w14:textId="2A6C903B" w:rsidR="00B052CD" w:rsidRDefault="00B052CD" w:rsidP="007C161D">
            <w:pPr>
              <w:pStyle w:val="DHHStabletext"/>
            </w:pPr>
            <w:r w:rsidRPr="00BA138A">
              <w:t>General</w:t>
            </w:r>
          </w:p>
        </w:tc>
        <w:tc>
          <w:tcPr>
            <w:tcW w:w="3060" w:type="dxa"/>
          </w:tcPr>
          <w:p w14:paraId="616616C0" w14:textId="0F055507" w:rsidR="00B052CD" w:rsidRDefault="00B052CD">
            <w:pPr>
              <w:pStyle w:val="DHHStabletext"/>
            </w:pPr>
            <w:r w:rsidRPr="00BA138A">
              <w:t>Floor</w:t>
            </w:r>
          </w:p>
        </w:tc>
        <w:tc>
          <w:tcPr>
            <w:tcW w:w="3060" w:type="dxa"/>
          </w:tcPr>
          <w:p w14:paraId="24839C78" w14:textId="21CA53FB" w:rsidR="00B052CD" w:rsidRDefault="00B052CD">
            <w:pPr>
              <w:pStyle w:val="DHHStabletext"/>
            </w:pPr>
            <w:r w:rsidRPr="00BA138A">
              <w:t>1.5 kPa</w:t>
            </w:r>
          </w:p>
        </w:tc>
      </w:tr>
      <w:tr w:rsidR="00B052CD" w14:paraId="0893D234" w14:textId="77777777" w:rsidTr="007C161D">
        <w:tc>
          <w:tcPr>
            <w:tcW w:w="3060" w:type="dxa"/>
          </w:tcPr>
          <w:p w14:paraId="3D0C8F13" w14:textId="21183D6D" w:rsidR="00B052CD" w:rsidRPr="00BA138A" w:rsidRDefault="00B052CD" w:rsidP="007C161D">
            <w:pPr>
              <w:pStyle w:val="DHHStabletext"/>
            </w:pPr>
            <w:r w:rsidRPr="00BA138A">
              <w:t>General</w:t>
            </w:r>
          </w:p>
        </w:tc>
        <w:tc>
          <w:tcPr>
            <w:tcW w:w="3060" w:type="dxa"/>
          </w:tcPr>
          <w:p w14:paraId="25D99483" w14:textId="2B10B166" w:rsidR="00B052CD" w:rsidRPr="00BA138A" w:rsidRDefault="00B052CD">
            <w:pPr>
              <w:pStyle w:val="DHHStabletext"/>
            </w:pPr>
            <w:r w:rsidRPr="00BA138A">
              <w:t>Roof</w:t>
            </w:r>
          </w:p>
        </w:tc>
        <w:tc>
          <w:tcPr>
            <w:tcW w:w="3060" w:type="dxa"/>
          </w:tcPr>
          <w:p w14:paraId="27231971" w14:textId="51E8451F" w:rsidR="00B052CD" w:rsidRPr="00BA138A" w:rsidRDefault="00B052CD">
            <w:pPr>
              <w:pStyle w:val="DHHStabletext"/>
            </w:pPr>
            <w:r w:rsidRPr="00BA138A">
              <w:t>0.5 kPa</w:t>
            </w:r>
          </w:p>
        </w:tc>
      </w:tr>
    </w:tbl>
    <w:p w14:paraId="12913697" w14:textId="618DDB4E" w:rsidR="00B34136" w:rsidRPr="00690A0E" w:rsidRDefault="00B34136" w:rsidP="004657F7">
      <w:pPr>
        <w:pStyle w:val="Heading3"/>
      </w:pPr>
      <w:r w:rsidRPr="00690A0E">
        <w:t xml:space="preserve">Deflection </w:t>
      </w:r>
      <w:r w:rsidR="004C6EAC" w:rsidRPr="00690A0E">
        <w:t>criteria</w:t>
      </w:r>
    </w:p>
    <w:p w14:paraId="67E80882" w14:textId="77777777" w:rsidR="00B34136" w:rsidRPr="00690A0E" w:rsidRDefault="00B34136">
      <w:pPr>
        <w:pStyle w:val="DHHSbodynumbered"/>
      </w:pPr>
      <w:r w:rsidRPr="00690A0E">
        <w:t xml:space="preserve">The structure </w:t>
      </w:r>
      <w:r>
        <w:t>will</w:t>
      </w:r>
      <w:r w:rsidRPr="00690A0E">
        <w:t xml:space="preserve"> be designed to avoid excessive deflections that may affect the serviceability of the structure’s intended functions.</w:t>
      </w:r>
    </w:p>
    <w:p w14:paraId="4B9B5245" w14:textId="4EB14D2F" w:rsidR="00B34136" w:rsidRDefault="00B34136">
      <w:pPr>
        <w:pStyle w:val="DHHSbodynumbered"/>
      </w:pPr>
      <w:r w:rsidRPr="00690A0E">
        <w:t>Notwithstanding compliance with the following table and relevant standards</w:t>
      </w:r>
      <w:r w:rsidR="00FA51EE">
        <w:t xml:space="preserve"> (including </w:t>
      </w:r>
      <w:r w:rsidR="00A526AB">
        <w:t xml:space="preserve">AS </w:t>
      </w:r>
      <w:r w:rsidRPr="00690A0E">
        <w:t>1170.0 Table C1</w:t>
      </w:r>
      <w:r w:rsidR="00FA51EE">
        <w:t>)</w:t>
      </w:r>
      <w:r w:rsidRPr="00690A0E">
        <w:t xml:space="preserve">, the consultant </w:t>
      </w:r>
      <w:r>
        <w:t>will</w:t>
      </w:r>
      <w:r w:rsidRPr="00690A0E">
        <w:t xml:space="preserve"> ensure that deflections are visually acceptable and can accommodate equipment and services installed within required tolerances.</w:t>
      </w:r>
    </w:p>
    <w:p w14:paraId="025FD37B" w14:textId="7D1A26AB" w:rsidR="004C6EAC" w:rsidRDefault="004C6EAC" w:rsidP="004657F7">
      <w:pPr>
        <w:pStyle w:val="DHHStablecaption"/>
      </w:pPr>
      <w:r>
        <w:t xml:space="preserve">Table </w:t>
      </w:r>
      <w:fldSimple w:instr=" SEQ Table \* ARABIC ">
        <w:r w:rsidR="00FA51EE">
          <w:rPr>
            <w:noProof/>
          </w:rPr>
          <w:t>5</w:t>
        </w:r>
      </w:fldSimple>
      <w:r>
        <w:t>: Deflection table (deflection from horizontal, or from straight line between supports in case of sloping or vertical member)</w:t>
      </w:r>
    </w:p>
    <w:tbl>
      <w:tblPr>
        <w:tblStyle w:val="TableGrid"/>
        <w:tblW w:w="0" w:type="auto"/>
        <w:tblLook w:val="04A0" w:firstRow="1" w:lastRow="0" w:firstColumn="1" w:lastColumn="0" w:noHBand="0" w:noVBand="1"/>
      </w:tblPr>
      <w:tblGrid>
        <w:gridCol w:w="3998"/>
        <w:gridCol w:w="5182"/>
      </w:tblGrid>
      <w:tr w:rsidR="004C6EAC" w14:paraId="6FC8CEF1" w14:textId="77777777" w:rsidTr="004657F7">
        <w:trPr>
          <w:cnfStyle w:val="100000000000" w:firstRow="1" w:lastRow="0" w:firstColumn="0" w:lastColumn="0" w:oddVBand="0" w:evenVBand="0" w:oddHBand="0" w:evenHBand="0" w:firstRowFirstColumn="0" w:firstRowLastColumn="0" w:lastRowFirstColumn="0" w:lastRowLastColumn="0"/>
          <w:tblHeader/>
        </w:trPr>
        <w:tc>
          <w:tcPr>
            <w:tcW w:w="3998" w:type="dxa"/>
          </w:tcPr>
          <w:p w14:paraId="31A1814A" w14:textId="4C3C8FA5" w:rsidR="004C6EAC" w:rsidRDefault="004C6EAC" w:rsidP="004657F7">
            <w:pPr>
              <w:pStyle w:val="DHHStablecolhead"/>
            </w:pPr>
            <w:r>
              <w:t>Structural element</w:t>
            </w:r>
          </w:p>
        </w:tc>
        <w:tc>
          <w:tcPr>
            <w:tcW w:w="5182" w:type="dxa"/>
          </w:tcPr>
          <w:p w14:paraId="1BE9B4C6" w14:textId="355E390D" w:rsidR="004C6EAC" w:rsidRDefault="004C6EAC" w:rsidP="004657F7">
            <w:pPr>
              <w:pStyle w:val="DHHStablecolhead"/>
            </w:pPr>
            <w:r>
              <w:t xml:space="preserve">Maximum deflection </w:t>
            </w:r>
            <w:r w:rsidRPr="004C6EAC">
              <w:t>(</w:t>
            </w:r>
            <w:r>
              <w:rPr>
                <w:rFonts w:cs="Arial"/>
              </w:rPr>
              <w:t>∆</w:t>
            </w:r>
            <w:r w:rsidRPr="004C6EAC">
              <w:t>/</w:t>
            </w:r>
            <w:proofErr w:type="spellStart"/>
            <w:r w:rsidRPr="004C6EAC">
              <w:t>L</w:t>
            </w:r>
            <w:r w:rsidRPr="004657F7">
              <w:rPr>
                <w:vertAlign w:val="subscript"/>
              </w:rPr>
              <w:t>ef</w:t>
            </w:r>
            <w:proofErr w:type="spellEnd"/>
            <w:r w:rsidRPr="004C6EAC">
              <w:t>)</w:t>
            </w:r>
          </w:p>
        </w:tc>
      </w:tr>
      <w:tr w:rsidR="004C6EAC" w14:paraId="48628BDB" w14:textId="77777777" w:rsidTr="004657F7">
        <w:tc>
          <w:tcPr>
            <w:tcW w:w="3998" w:type="dxa"/>
          </w:tcPr>
          <w:p w14:paraId="05B7EA8A" w14:textId="5CA2EE42" w:rsidR="004C6EAC" w:rsidRDefault="004C6EAC" w:rsidP="007C161D">
            <w:pPr>
              <w:pStyle w:val="DHHSbody"/>
            </w:pPr>
            <w:r w:rsidRPr="00BA138A">
              <w:t>Members supporting face brick walls</w:t>
            </w:r>
          </w:p>
        </w:tc>
        <w:tc>
          <w:tcPr>
            <w:tcW w:w="5182" w:type="dxa"/>
          </w:tcPr>
          <w:p w14:paraId="719B3E4E" w14:textId="77777777" w:rsidR="004C6EAC" w:rsidRPr="00BA138A" w:rsidRDefault="004C6EAC">
            <w:pPr>
              <w:pStyle w:val="DHHStabletext"/>
            </w:pPr>
            <w:r w:rsidRPr="00BA138A">
              <w:t>Deflection after wall construction:</w:t>
            </w:r>
          </w:p>
          <w:p w14:paraId="6BB2187D" w14:textId="77777777" w:rsidR="004C6EAC" w:rsidRPr="00BA138A" w:rsidRDefault="004C6EAC">
            <w:pPr>
              <w:pStyle w:val="DHHStablebullet1"/>
            </w:pPr>
            <w:r w:rsidRPr="00BA138A">
              <w:t>For spans: 1/600</w:t>
            </w:r>
          </w:p>
          <w:p w14:paraId="7BAD74B0" w14:textId="2A6271D1" w:rsidR="004C6EAC" w:rsidRDefault="004C6EAC" w:rsidP="004657F7">
            <w:pPr>
              <w:pStyle w:val="DHHStablebullet1"/>
            </w:pPr>
            <w:r w:rsidRPr="00BA138A">
              <w:t>For cantilevers: 1/300</w:t>
            </w:r>
          </w:p>
        </w:tc>
      </w:tr>
      <w:tr w:rsidR="004C6EAC" w14:paraId="1628DAF8" w14:textId="77777777" w:rsidTr="004657F7">
        <w:tc>
          <w:tcPr>
            <w:tcW w:w="3998" w:type="dxa"/>
          </w:tcPr>
          <w:p w14:paraId="59F20AB1" w14:textId="386521C7" w:rsidR="004C6EAC" w:rsidRPr="00BA138A" w:rsidRDefault="004C6EAC" w:rsidP="007C161D">
            <w:pPr>
              <w:pStyle w:val="DHHSbody"/>
            </w:pPr>
            <w:r w:rsidRPr="00BA138A">
              <w:t>Members supporting rendered brick walls</w:t>
            </w:r>
          </w:p>
        </w:tc>
        <w:tc>
          <w:tcPr>
            <w:tcW w:w="5182" w:type="dxa"/>
          </w:tcPr>
          <w:p w14:paraId="1ACDA64A" w14:textId="77777777" w:rsidR="004C6EAC" w:rsidRPr="00BA138A" w:rsidRDefault="004C6EAC">
            <w:pPr>
              <w:pStyle w:val="DHHStabletext"/>
            </w:pPr>
            <w:r w:rsidRPr="00BA138A">
              <w:t>Deflection after wall construction:</w:t>
            </w:r>
          </w:p>
          <w:p w14:paraId="5E7113F0" w14:textId="77777777" w:rsidR="004C6EAC" w:rsidRPr="00BA138A" w:rsidRDefault="004C6EAC">
            <w:pPr>
              <w:pStyle w:val="DHHStablebullet1"/>
            </w:pPr>
            <w:r w:rsidRPr="00BA138A">
              <w:t>For spans: 1/1000</w:t>
            </w:r>
          </w:p>
          <w:p w14:paraId="3590FC39" w14:textId="3316BABA" w:rsidR="004C6EAC" w:rsidRPr="00BA138A" w:rsidRDefault="004C6EAC">
            <w:pPr>
              <w:pStyle w:val="DHHStabletext"/>
            </w:pPr>
            <w:r w:rsidRPr="00BA138A">
              <w:t>For cantilevers: 1/500</w:t>
            </w:r>
          </w:p>
        </w:tc>
      </w:tr>
      <w:tr w:rsidR="004C6EAC" w14:paraId="62ACE01D" w14:textId="77777777" w:rsidTr="004657F7">
        <w:tc>
          <w:tcPr>
            <w:tcW w:w="3998" w:type="dxa"/>
          </w:tcPr>
          <w:p w14:paraId="0DE4930A" w14:textId="1D1EB67E" w:rsidR="004C6EAC" w:rsidRPr="00BA138A" w:rsidRDefault="004C6EAC" w:rsidP="007C161D">
            <w:pPr>
              <w:pStyle w:val="DHHSbody"/>
            </w:pPr>
            <w:r w:rsidRPr="00BA138A">
              <w:lastRenderedPageBreak/>
              <w:t>Members not supporting brittle elements</w:t>
            </w:r>
          </w:p>
        </w:tc>
        <w:tc>
          <w:tcPr>
            <w:tcW w:w="5182" w:type="dxa"/>
          </w:tcPr>
          <w:p w14:paraId="3E4BC036" w14:textId="77777777" w:rsidR="004C6EAC" w:rsidRPr="00BA138A" w:rsidRDefault="004C6EAC">
            <w:pPr>
              <w:pStyle w:val="DHHStabletext"/>
            </w:pPr>
            <w:r w:rsidRPr="00BA138A">
              <w:t>Total deflection:</w:t>
            </w:r>
          </w:p>
          <w:p w14:paraId="7B19B98C" w14:textId="08C60638" w:rsidR="004C6EAC" w:rsidRPr="00BA138A" w:rsidRDefault="004C6EAC">
            <w:pPr>
              <w:pStyle w:val="DHHStablebullet1"/>
            </w:pPr>
            <w:r w:rsidRPr="00BA138A">
              <w:t>For spans: 1/250 or 40</w:t>
            </w:r>
            <w:r w:rsidR="006950BC">
              <w:t xml:space="preserve"> </w:t>
            </w:r>
            <w:r w:rsidRPr="00BA138A">
              <w:t xml:space="preserve">mm absolute value, whichever is less. </w:t>
            </w:r>
            <w:r>
              <w:br/>
            </w:r>
            <w:r w:rsidRPr="00BA138A">
              <w:t>For the purpose of this requirement, span is the distance between any two immediately adjoining supports (columns or walls) where the deflection is single curvature. The deflection is measured from the line joining the two supports at the structural designed levels.</w:t>
            </w:r>
          </w:p>
          <w:p w14:paraId="14E9A6B3" w14:textId="2FE939FB" w:rsidR="004C6EAC" w:rsidRPr="00BA138A" w:rsidRDefault="004C6EAC">
            <w:pPr>
              <w:pStyle w:val="DHHStabletext"/>
            </w:pPr>
            <w:r w:rsidRPr="00BA138A">
              <w:t>For cantilevers: 1/150 or 30</w:t>
            </w:r>
            <w:r w:rsidR="006950BC">
              <w:t xml:space="preserve"> </w:t>
            </w:r>
            <w:r w:rsidRPr="00BA138A">
              <w:t>mm absolute value, whichever is less.</w:t>
            </w:r>
          </w:p>
        </w:tc>
      </w:tr>
      <w:tr w:rsidR="004C6EAC" w14:paraId="79530BF6" w14:textId="77777777" w:rsidTr="004657F7">
        <w:tc>
          <w:tcPr>
            <w:tcW w:w="3998" w:type="dxa"/>
          </w:tcPr>
          <w:p w14:paraId="003BF1DB" w14:textId="01FEC8C6" w:rsidR="004C6EAC" w:rsidRPr="00BA138A" w:rsidRDefault="004C6EAC" w:rsidP="007C161D">
            <w:pPr>
              <w:pStyle w:val="DHHSbody"/>
            </w:pPr>
            <w:r w:rsidRPr="00BA138A">
              <w:t>Members supporting brittle finishes</w:t>
            </w:r>
          </w:p>
        </w:tc>
        <w:tc>
          <w:tcPr>
            <w:tcW w:w="5182" w:type="dxa"/>
          </w:tcPr>
          <w:p w14:paraId="266908E8" w14:textId="77777777" w:rsidR="004C6EAC" w:rsidRPr="00BA138A" w:rsidRDefault="004C6EAC">
            <w:pPr>
              <w:pStyle w:val="DHHStabletext"/>
            </w:pPr>
            <w:r w:rsidRPr="00BA138A">
              <w:t>Deflection after installation of finishes:</w:t>
            </w:r>
          </w:p>
          <w:p w14:paraId="26876FDF" w14:textId="77777777" w:rsidR="004C6EAC" w:rsidRPr="00BA138A" w:rsidRDefault="004C6EAC">
            <w:pPr>
              <w:pStyle w:val="DHHStabletext"/>
            </w:pPr>
            <w:r w:rsidRPr="00BA138A">
              <w:t>Architect’s requirements based on selected finishes</w:t>
            </w:r>
          </w:p>
          <w:p w14:paraId="34DB8259" w14:textId="21622F66" w:rsidR="004C6EAC" w:rsidRPr="00BA138A" w:rsidRDefault="004C6EAC">
            <w:pPr>
              <w:pStyle w:val="DHHStablebullet1"/>
            </w:pPr>
            <w:r w:rsidRPr="00BA138A">
              <w:t>For spans: 1/500 or 20</w:t>
            </w:r>
            <w:r w:rsidR="006950BC">
              <w:t xml:space="preserve"> </w:t>
            </w:r>
            <w:r w:rsidRPr="00BA138A">
              <w:t>mm, whichever is less</w:t>
            </w:r>
          </w:p>
          <w:p w14:paraId="16BA04B3" w14:textId="4EC10E08" w:rsidR="004C6EAC" w:rsidRPr="00BA138A" w:rsidRDefault="004C6EAC">
            <w:pPr>
              <w:pStyle w:val="DHHStabletext"/>
            </w:pPr>
            <w:r w:rsidRPr="00BA138A">
              <w:t>For cantilevers: 1/250 or 20</w:t>
            </w:r>
            <w:r w:rsidR="006950BC">
              <w:t xml:space="preserve"> </w:t>
            </w:r>
            <w:r w:rsidRPr="00BA138A">
              <w:t>mm, whichever is less</w:t>
            </w:r>
          </w:p>
        </w:tc>
      </w:tr>
      <w:tr w:rsidR="004C6EAC" w14:paraId="60A49034" w14:textId="77777777" w:rsidTr="004657F7">
        <w:tc>
          <w:tcPr>
            <w:tcW w:w="3998" w:type="dxa"/>
          </w:tcPr>
          <w:p w14:paraId="0BA28AC7" w14:textId="243D0B83" w:rsidR="004C6EAC" w:rsidRPr="00BA138A" w:rsidRDefault="004C6EAC" w:rsidP="007C161D">
            <w:pPr>
              <w:pStyle w:val="DHHSbody"/>
            </w:pPr>
            <w:r w:rsidRPr="00BA138A">
              <w:t>Stud walls under lateral loading</w:t>
            </w:r>
          </w:p>
        </w:tc>
        <w:tc>
          <w:tcPr>
            <w:tcW w:w="5182" w:type="dxa"/>
          </w:tcPr>
          <w:p w14:paraId="54EF544A" w14:textId="77777777" w:rsidR="004C6EAC" w:rsidRPr="00BA138A" w:rsidRDefault="004C6EAC">
            <w:pPr>
              <w:pStyle w:val="DHHStabletext"/>
            </w:pPr>
            <w:r w:rsidRPr="00BA138A">
              <w:t>Total deflection:</w:t>
            </w:r>
          </w:p>
          <w:p w14:paraId="7C818175" w14:textId="77777777" w:rsidR="004C6EAC" w:rsidRPr="00BA138A" w:rsidRDefault="004C6EAC">
            <w:pPr>
              <w:pStyle w:val="DHHStablebullet1"/>
            </w:pPr>
            <w:r w:rsidRPr="00BA138A">
              <w:t>For spans: 1/500</w:t>
            </w:r>
          </w:p>
          <w:p w14:paraId="75B29FAC" w14:textId="0F5058E6" w:rsidR="004C6EAC" w:rsidRPr="00BA138A" w:rsidRDefault="004C6EAC">
            <w:pPr>
              <w:pStyle w:val="DHHStabletext"/>
            </w:pPr>
            <w:r w:rsidRPr="00BA138A">
              <w:t>For cantilevers: 1/250</w:t>
            </w:r>
          </w:p>
        </w:tc>
      </w:tr>
      <w:tr w:rsidR="004C6EAC" w14:paraId="4F353871" w14:textId="77777777" w:rsidTr="004657F7">
        <w:tc>
          <w:tcPr>
            <w:tcW w:w="3998" w:type="dxa"/>
          </w:tcPr>
          <w:p w14:paraId="0E6A0D77" w14:textId="47C31666" w:rsidR="004C6EAC" w:rsidRPr="00BA138A" w:rsidRDefault="004C6EAC" w:rsidP="007C161D">
            <w:pPr>
              <w:pStyle w:val="DHHSbody"/>
            </w:pPr>
            <w:r w:rsidRPr="00BA138A">
              <w:t xml:space="preserve"> Roof members</w:t>
            </w:r>
          </w:p>
        </w:tc>
        <w:tc>
          <w:tcPr>
            <w:tcW w:w="5182" w:type="dxa"/>
          </w:tcPr>
          <w:p w14:paraId="223F2E9C" w14:textId="77777777" w:rsidR="004C6EAC" w:rsidRPr="00BA138A" w:rsidRDefault="004C6EAC">
            <w:pPr>
              <w:pStyle w:val="DHHStabletext"/>
            </w:pPr>
            <w:r w:rsidRPr="00BA138A">
              <w:t>Total deflection:</w:t>
            </w:r>
          </w:p>
          <w:p w14:paraId="6CEBCB32" w14:textId="77777777" w:rsidR="004C6EAC" w:rsidRPr="00BA138A" w:rsidRDefault="004C6EAC">
            <w:pPr>
              <w:pStyle w:val="DHHStabletext"/>
            </w:pPr>
            <w:r w:rsidRPr="00BA138A">
              <w:t xml:space="preserve">Due to dead load and factored live loads (G + </w:t>
            </w:r>
            <w:proofErr w:type="spellStart"/>
            <w:r w:rsidRPr="00BA138A">
              <w:t>ψsQ</w:t>
            </w:r>
            <w:proofErr w:type="spellEnd"/>
            <w:r w:rsidRPr="00BA138A">
              <w:t>)</w:t>
            </w:r>
          </w:p>
          <w:p w14:paraId="2CDF23AB" w14:textId="77777777" w:rsidR="004C6EAC" w:rsidRPr="00BA138A" w:rsidRDefault="004C6EAC">
            <w:pPr>
              <w:pStyle w:val="DHHStablebullet1"/>
            </w:pPr>
            <w:r w:rsidRPr="00BA138A">
              <w:t>For spans: 1/300</w:t>
            </w:r>
          </w:p>
          <w:p w14:paraId="07681D2F" w14:textId="77777777" w:rsidR="004C6EAC" w:rsidRPr="00BA138A" w:rsidRDefault="004C6EAC">
            <w:pPr>
              <w:pStyle w:val="DHHStablebullet1"/>
            </w:pPr>
            <w:r w:rsidRPr="00BA138A">
              <w:t>For cantilevers: 1/150</w:t>
            </w:r>
          </w:p>
          <w:p w14:paraId="4034412E" w14:textId="77777777" w:rsidR="004C6EAC" w:rsidRPr="00BA138A" w:rsidRDefault="004C6EAC">
            <w:pPr>
              <w:pStyle w:val="DHHStabletext"/>
            </w:pPr>
            <w:r w:rsidRPr="00BA138A">
              <w:t>Due to serviceability wind load (</w:t>
            </w:r>
            <w:proofErr w:type="spellStart"/>
            <w:r w:rsidRPr="00BA138A">
              <w:t>W</w:t>
            </w:r>
            <w:r w:rsidRPr="00BA138A">
              <w:rPr>
                <w:vertAlign w:val="subscript"/>
              </w:rPr>
              <w:t>s</w:t>
            </w:r>
            <w:proofErr w:type="spellEnd"/>
            <w:r w:rsidRPr="00BA138A">
              <w:t>)</w:t>
            </w:r>
          </w:p>
          <w:p w14:paraId="2FB568E3" w14:textId="77777777" w:rsidR="004C6EAC" w:rsidRPr="00BA138A" w:rsidRDefault="004C6EAC">
            <w:pPr>
              <w:pStyle w:val="DHHStablebullet1"/>
            </w:pPr>
            <w:r w:rsidRPr="00BA138A">
              <w:t>For spans: 1/250</w:t>
            </w:r>
          </w:p>
          <w:p w14:paraId="5D85AADF" w14:textId="77777777" w:rsidR="004C6EAC" w:rsidRPr="00BA138A" w:rsidRDefault="004C6EAC">
            <w:pPr>
              <w:pStyle w:val="DHHStablebullet1"/>
            </w:pPr>
            <w:r w:rsidRPr="00BA138A">
              <w:t>For cantilevers: 1/125</w:t>
            </w:r>
          </w:p>
          <w:p w14:paraId="15934E72" w14:textId="59A4EEFE" w:rsidR="004C6EAC" w:rsidRPr="00BA138A" w:rsidRDefault="004C6EAC">
            <w:pPr>
              <w:pStyle w:val="DHHStabletext"/>
            </w:pPr>
            <w:r w:rsidRPr="00BA138A">
              <w:t xml:space="preserve">Load combinations for serviceability limit states </w:t>
            </w:r>
            <w:r>
              <w:t>will</w:t>
            </w:r>
            <w:r w:rsidRPr="00BA138A">
              <w:t xml:space="preserve"> be as set out in </w:t>
            </w:r>
            <w:r w:rsidR="00A526AB">
              <w:t xml:space="preserve">AS </w:t>
            </w:r>
            <w:r w:rsidRPr="00BA138A">
              <w:t>1170.1</w:t>
            </w:r>
          </w:p>
        </w:tc>
      </w:tr>
      <w:tr w:rsidR="004C6EAC" w14:paraId="4E100FB1" w14:textId="77777777" w:rsidTr="004657F7">
        <w:tc>
          <w:tcPr>
            <w:tcW w:w="3998" w:type="dxa"/>
          </w:tcPr>
          <w:p w14:paraId="157387A1" w14:textId="5936C6DA" w:rsidR="004C6EAC" w:rsidRPr="00BA138A" w:rsidRDefault="004C6EAC" w:rsidP="007C161D">
            <w:pPr>
              <w:pStyle w:val="DHHSbody"/>
            </w:pPr>
            <w:r w:rsidRPr="00BA138A">
              <w:t>Roof members supporting brittle cladding</w:t>
            </w:r>
          </w:p>
        </w:tc>
        <w:tc>
          <w:tcPr>
            <w:tcW w:w="5182" w:type="dxa"/>
          </w:tcPr>
          <w:p w14:paraId="257772F6" w14:textId="77777777" w:rsidR="004C6EAC" w:rsidRPr="00BA138A" w:rsidRDefault="004C6EAC">
            <w:pPr>
              <w:pStyle w:val="DHHStabletext"/>
            </w:pPr>
            <w:r w:rsidRPr="00BA138A">
              <w:t>Total deflection:</w:t>
            </w:r>
          </w:p>
          <w:p w14:paraId="72821211" w14:textId="77777777" w:rsidR="004C6EAC" w:rsidRPr="00BA138A" w:rsidRDefault="004C6EAC">
            <w:pPr>
              <w:pStyle w:val="DHHStabletext"/>
            </w:pPr>
            <w:r w:rsidRPr="00BA138A">
              <w:t xml:space="preserve">Due to dead load and factored live loads (G + </w:t>
            </w:r>
            <w:proofErr w:type="spellStart"/>
            <w:r w:rsidRPr="00BA138A">
              <w:t>ψsQ</w:t>
            </w:r>
            <w:proofErr w:type="spellEnd"/>
            <w:r w:rsidRPr="00BA138A">
              <w:t>)</w:t>
            </w:r>
          </w:p>
          <w:p w14:paraId="02FC1A0E" w14:textId="77777777" w:rsidR="004C6EAC" w:rsidRPr="00BA138A" w:rsidRDefault="004C6EAC">
            <w:pPr>
              <w:pStyle w:val="DHHStablebullet1"/>
            </w:pPr>
            <w:r w:rsidRPr="00BA138A">
              <w:t>For spans: 1/400</w:t>
            </w:r>
          </w:p>
          <w:p w14:paraId="1C803293" w14:textId="77777777" w:rsidR="004C6EAC" w:rsidRPr="00BA138A" w:rsidRDefault="004C6EAC">
            <w:pPr>
              <w:pStyle w:val="DHHStablebullet1"/>
            </w:pPr>
            <w:r w:rsidRPr="00BA138A">
              <w:t>For cantilevers: 1/200</w:t>
            </w:r>
          </w:p>
          <w:p w14:paraId="7D2100AD" w14:textId="77777777" w:rsidR="004C6EAC" w:rsidRPr="00BA138A" w:rsidRDefault="004C6EAC">
            <w:pPr>
              <w:pStyle w:val="DHHStabletext"/>
            </w:pPr>
            <w:r w:rsidRPr="00BA138A">
              <w:t>Due to serviceability wind load (</w:t>
            </w:r>
            <w:proofErr w:type="spellStart"/>
            <w:r w:rsidRPr="00BA138A">
              <w:t>W</w:t>
            </w:r>
            <w:r w:rsidRPr="00BA138A">
              <w:rPr>
                <w:vertAlign w:val="subscript"/>
              </w:rPr>
              <w:t>s</w:t>
            </w:r>
            <w:proofErr w:type="spellEnd"/>
            <w:r w:rsidRPr="00BA138A">
              <w:t>)</w:t>
            </w:r>
          </w:p>
          <w:p w14:paraId="7623E46E" w14:textId="77777777" w:rsidR="004C6EAC" w:rsidRPr="00BA138A" w:rsidRDefault="004C6EAC">
            <w:pPr>
              <w:pStyle w:val="DHHStabletext"/>
            </w:pPr>
            <w:r w:rsidRPr="00BA138A">
              <w:t>For spans: 1/400</w:t>
            </w:r>
          </w:p>
          <w:p w14:paraId="59FF4C44" w14:textId="77777777" w:rsidR="004C6EAC" w:rsidRPr="00BA138A" w:rsidRDefault="004C6EAC">
            <w:pPr>
              <w:pStyle w:val="DHHStabletext"/>
            </w:pPr>
            <w:r w:rsidRPr="00BA138A">
              <w:t>For cantilevers: 1/200</w:t>
            </w:r>
          </w:p>
          <w:p w14:paraId="0C26F84B" w14:textId="321DB3BB" w:rsidR="004C6EAC" w:rsidRPr="00BA138A" w:rsidRDefault="004C6EAC">
            <w:pPr>
              <w:pStyle w:val="DHHStabletext"/>
            </w:pPr>
            <w:r w:rsidRPr="00BA138A">
              <w:t xml:space="preserve">Load combinations for serviceability limit states </w:t>
            </w:r>
            <w:r>
              <w:t>will</w:t>
            </w:r>
            <w:r w:rsidRPr="00BA138A">
              <w:t xml:space="preserve"> be as set out in AS</w:t>
            </w:r>
            <w:r>
              <w:t xml:space="preserve"> </w:t>
            </w:r>
            <w:r w:rsidRPr="00BA138A">
              <w:t>1170.1</w:t>
            </w:r>
          </w:p>
        </w:tc>
      </w:tr>
    </w:tbl>
    <w:p w14:paraId="6E4C92EA" w14:textId="77777777" w:rsidR="00B34136" w:rsidRPr="00690A0E" w:rsidRDefault="00B34136" w:rsidP="004657F7">
      <w:pPr>
        <w:pStyle w:val="Heading3"/>
      </w:pPr>
      <w:r w:rsidRPr="00690A0E">
        <w:t>Vibration</w:t>
      </w:r>
    </w:p>
    <w:p w14:paraId="0AAD13B9" w14:textId="08C5DADF" w:rsidR="00B34136" w:rsidRPr="00690A0E" w:rsidRDefault="00B34136">
      <w:pPr>
        <w:pStyle w:val="DHHSbodynumbered"/>
      </w:pPr>
      <w:r w:rsidRPr="00690A0E">
        <w:t>The structure, including lightweight elements</w:t>
      </w:r>
      <w:r w:rsidR="00FA51EE">
        <w:t xml:space="preserve"> (</w:t>
      </w:r>
      <w:r>
        <w:t>such as the</w:t>
      </w:r>
      <w:r w:rsidRPr="00690A0E">
        <w:t xml:space="preserve"> façade</w:t>
      </w:r>
      <w:r w:rsidR="00FA51EE">
        <w:t>)</w:t>
      </w:r>
      <w:r w:rsidRPr="00690A0E">
        <w:t xml:space="preserve"> will be designed with due consideration to ensure satisfactory vibration performance. </w:t>
      </w:r>
    </w:p>
    <w:p w14:paraId="2CDA454C" w14:textId="6EC13285" w:rsidR="00B34136" w:rsidRPr="00690A0E" w:rsidRDefault="00B34136">
      <w:pPr>
        <w:pStyle w:val="DHHSbodynumbered"/>
      </w:pPr>
      <w:r w:rsidRPr="00690A0E">
        <w:t>The use of localised vibration isolation systems (</w:t>
      </w:r>
      <w:r w:rsidR="004C54AF">
        <w:t>such as</w:t>
      </w:r>
      <w:r w:rsidR="004C54AF" w:rsidRPr="00690A0E">
        <w:t xml:space="preserve"> </w:t>
      </w:r>
      <w:r w:rsidRPr="00690A0E">
        <w:t>proprietary mounts, vibration isolation benches and floating floor systems) should be considered in conjunction with the building stiffness</w:t>
      </w:r>
      <w:r w:rsidR="00FA51EE">
        <w:t>,</w:t>
      </w:r>
      <w:r w:rsidRPr="00690A0E">
        <w:t xml:space="preserve"> where appropriate</w:t>
      </w:r>
      <w:r w:rsidR="00FA51EE">
        <w:t>,</w:t>
      </w:r>
      <w:r w:rsidRPr="00690A0E">
        <w:t xml:space="preserve"> to achieve a cost</w:t>
      </w:r>
      <w:r w:rsidR="004C54AF">
        <w:t>-</w:t>
      </w:r>
      <w:r w:rsidRPr="00690A0E">
        <w:t>efficient structure.</w:t>
      </w:r>
    </w:p>
    <w:p w14:paraId="4CA14B14" w14:textId="04BC1B08" w:rsidR="00B34136" w:rsidRPr="00690A0E" w:rsidRDefault="00B34136">
      <w:pPr>
        <w:pStyle w:val="DHHSbodynumbered"/>
      </w:pPr>
      <w:r w:rsidRPr="00690A0E">
        <w:t xml:space="preserve">Footfall </w:t>
      </w:r>
      <w:r w:rsidR="004C54AF" w:rsidRPr="00690A0E">
        <w:t>excitation criteria</w:t>
      </w:r>
      <w:r w:rsidRPr="00690A0E">
        <w:t>: The minimum walking frequencies of a</w:t>
      </w:r>
      <w:r w:rsidR="004C54AF">
        <w:t>n</w:t>
      </w:r>
      <w:r w:rsidRPr="00690A0E">
        <w:t xml:space="preserve"> 80kg person to be considered for various environments </w:t>
      </w:r>
      <w:r>
        <w:t>will</w:t>
      </w:r>
      <w:r w:rsidRPr="00690A0E">
        <w:t xml:space="preserve"> be:</w:t>
      </w:r>
    </w:p>
    <w:p w14:paraId="62CA0944" w14:textId="3E142971" w:rsidR="00B34136" w:rsidRPr="00690A0E" w:rsidRDefault="0053705F" w:rsidP="004657F7">
      <w:pPr>
        <w:pStyle w:val="DHHSbullet1indent"/>
        <w:tabs>
          <w:tab w:val="left" w:pos="4479"/>
        </w:tabs>
      </w:pPr>
      <w:r w:rsidRPr="00690A0E">
        <w:lastRenderedPageBreak/>
        <w:t>generally</w:t>
      </w:r>
      <w:r w:rsidR="00B34136" w:rsidRPr="00690A0E">
        <w:t>, unless noted otherwise:</w:t>
      </w:r>
      <w:r w:rsidR="004C54AF">
        <w:t xml:space="preserve"> </w:t>
      </w:r>
      <w:r w:rsidR="00B34136" w:rsidRPr="00690A0E">
        <w:t>1.5</w:t>
      </w:r>
      <w:r w:rsidR="006950BC">
        <w:t xml:space="preserve"> </w:t>
      </w:r>
      <w:r w:rsidR="00B34136" w:rsidRPr="00690A0E">
        <w:t xml:space="preserve">Hz </w:t>
      </w:r>
      <w:r w:rsidR="004C54AF">
        <w:t>to</w:t>
      </w:r>
      <w:r w:rsidR="00B34136" w:rsidRPr="00690A0E">
        <w:t xml:space="preserve"> 2.5 Hz</w:t>
      </w:r>
    </w:p>
    <w:p w14:paraId="7BD26F15" w14:textId="239B7C79" w:rsidR="00B34136" w:rsidRPr="00690A0E" w:rsidRDefault="0053705F" w:rsidP="007C161D">
      <w:pPr>
        <w:pStyle w:val="DHHSbullet1indent"/>
      </w:pPr>
      <w:r w:rsidRPr="00690A0E">
        <w:t xml:space="preserve">operating </w:t>
      </w:r>
      <w:r w:rsidR="00B34136" w:rsidRPr="00690A0E">
        <w:t>theatres:</w:t>
      </w:r>
      <w:r w:rsidR="004C54AF">
        <w:t xml:space="preserve"> </w:t>
      </w:r>
      <w:r w:rsidR="00B34136" w:rsidRPr="00690A0E">
        <w:t>1.6</w:t>
      </w:r>
      <w:r w:rsidR="006950BC">
        <w:t xml:space="preserve"> Hz</w:t>
      </w:r>
      <w:r w:rsidR="00B34136" w:rsidRPr="00690A0E">
        <w:t xml:space="preserve"> </w:t>
      </w:r>
      <w:r w:rsidR="004C54AF">
        <w:t>to</w:t>
      </w:r>
      <w:r w:rsidR="004C54AF" w:rsidRPr="00690A0E">
        <w:t xml:space="preserve"> </w:t>
      </w:r>
      <w:r w:rsidR="00B34136" w:rsidRPr="00690A0E">
        <w:t>2.0</w:t>
      </w:r>
      <w:r w:rsidR="006950BC">
        <w:t xml:space="preserve"> Hz</w:t>
      </w:r>
    </w:p>
    <w:p w14:paraId="52FC82B9" w14:textId="0F397737" w:rsidR="00B34136" w:rsidRPr="00690A0E" w:rsidRDefault="0053705F">
      <w:pPr>
        <w:pStyle w:val="DHHSbullet1indent"/>
      </w:pPr>
      <w:r w:rsidRPr="00690A0E">
        <w:t>near</w:t>
      </w:r>
      <w:r w:rsidR="00B34136" w:rsidRPr="00690A0E">
        <w:t>-patient environment:</w:t>
      </w:r>
      <w:r w:rsidR="004C54AF">
        <w:t xml:space="preserve"> </w:t>
      </w:r>
      <w:r w:rsidR="00B34136" w:rsidRPr="00690A0E">
        <w:t>1.5</w:t>
      </w:r>
      <w:r w:rsidR="006950BC">
        <w:t xml:space="preserve"> Hz</w:t>
      </w:r>
      <w:r w:rsidR="00B34136" w:rsidRPr="00690A0E">
        <w:t xml:space="preserve"> </w:t>
      </w:r>
      <w:r w:rsidR="004C54AF">
        <w:t>to</w:t>
      </w:r>
      <w:r w:rsidR="004C54AF" w:rsidRPr="00690A0E">
        <w:t xml:space="preserve"> </w:t>
      </w:r>
      <w:r w:rsidR="00B34136" w:rsidRPr="00690A0E">
        <w:t>1.8</w:t>
      </w:r>
      <w:r w:rsidR="006950BC">
        <w:t xml:space="preserve"> Hz</w:t>
      </w:r>
    </w:p>
    <w:p w14:paraId="3C2FC40E" w14:textId="0E759D05" w:rsidR="00B34136" w:rsidRPr="00690A0E" w:rsidRDefault="0053705F">
      <w:pPr>
        <w:pStyle w:val="DHHSbullet1indent"/>
      </w:pPr>
      <w:r w:rsidRPr="00690A0E">
        <w:t xml:space="preserve">long </w:t>
      </w:r>
      <w:r w:rsidR="00B34136" w:rsidRPr="00690A0E">
        <w:t>corridors:</w:t>
      </w:r>
      <w:r w:rsidR="004C54AF">
        <w:t xml:space="preserve"> </w:t>
      </w:r>
      <w:r w:rsidR="00B34136" w:rsidRPr="00690A0E">
        <w:t>2.0</w:t>
      </w:r>
      <w:r w:rsidR="006950BC">
        <w:t xml:space="preserve"> Hz</w:t>
      </w:r>
      <w:r w:rsidR="00B34136" w:rsidRPr="00690A0E">
        <w:t xml:space="preserve"> </w:t>
      </w:r>
      <w:r w:rsidR="004C54AF">
        <w:t>to</w:t>
      </w:r>
      <w:r w:rsidR="004C54AF" w:rsidRPr="00690A0E">
        <w:t xml:space="preserve"> </w:t>
      </w:r>
      <w:r w:rsidR="00B34136" w:rsidRPr="00690A0E">
        <w:t>2.5</w:t>
      </w:r>
      <w:r w:rsidR="006950BC">
        <w:t xml:space="preserve"> Hz</w:t>
      </w:r>
    </w:p>
    <w:p w14:paraId="68B0C46A" w14:textId="660D1D60" w:rsidR="00B34136" w:rsidRPr="00690A0E" w:rsidRDefault="00B34136" w:rsidP="004657F7">
      <w:pPr>
        <w:pStyle w:val="DHHSbodynumberedafterbullets"/>
      </w:pPr>
      <w:r w:rsidRPr="00690A0E">
        <w:t xml:space="preserve">For </w:t>
      </w:r>
      <w:r w:rsidR="0053705F" w:rsidRPr="00690A0E">
        <w:t xml:space="preserve">human perception </w:t>
      </w:r>
      <w:r w:rsidRPr="00690A0E">
        <w:t xml:space="preserve">due to footfall: the vibration acceleration limits </w:t>
      </w:r>
      <w:r>
        <w:t>will</w:t>
      </w:r>
      <w:r w:rsidRPr="00690A0E">
        <w:t xml:space="preserve"> be obtained by multiplying the base vertical acceleration curve in </w:t>
      </w:r>
      <w:r w:rsidR="00A526AB">
        <w:t xml:space="preserve">AS </w:t>
      </w:r>
      <w:r w:rsidRPr="00690A0E">
        <w:t>2670.2</w:t>
      </w:r>
      <w:r w:rsidR="004C54AF">
        <w:t>–</w:t>
      </w:r>
      <w:r w:rsidRPr="00690A0E">
        <w:t xml:space="preserve">1990 by the values in the </w:t>
      </w:r>
      <w:r w:rsidR="004C54AF">
        <w:t xml:space="preserve">following </w:t>
      </w:r>
      <w:r w:rsidRPr="00690A0E">
        <w:t>table:</w:t>
      </w:r>
    </w:p>
    <w:p w14:paraId="0B8DE63B" w14:textId="66D86CB0" w:rsidR="00FA51EE" w:rsidRDefault="00FA51EE" w:rsidP="004657F7">
      <w:pPr>
        <w:pStyle w:val="DHHStablecaption"/>
      </w:pPr>
      <w:r>
        <w:t xml:space="preserve">Table </w:t>
      </w:r>
      <w:fldSimple w:instr=" SEQ Table \* ARABIC ">
        <w:r>
          <w:rPr>
            <w:noProof/>
          </w:rPr>
          <w:t>6</w:t>
        </w:r>
      </w:fldSimple>
      <w:r>
        <w:t>: Multiplying factors for continuous vibrations</w:t>
      </w:r>
    </w:p>
    <w:tbl>
      <w:tblPr>
        <w:tblStyle w:val="TableGrid"/>
        <w:tblW w:w="0" w:type="auto"/>
        <w:tblLook w:val="04A0" w:firstRow="1" w:lastRow="0" w:firstColumn="1" w:lastColumn="0" w:noHBand="0" w:noVBand="1"/>
      </w:tblPr>
      <w:tblGrid>
        <w:gridCol w:w="6550"/>
        <w:gridCol w:w="2630"/>
      </w:tblGrid>
      <w:tr w:rsidR="004C54AF" w14:paraId="5F9B343B" w14:textId="77777777" w:rsidTr="007C161D">
        <w:trPr>
          <w:cnfStyle w:val="100000000000" w:firstRow="1" w:lastRow="0" w:firstColumn="0" w:lastColumn="0" w:oddVBand="0" w:evenVBand="0" w:oddHBand="0" w:evenHBand="0" w:firstRowFirstColumn="0" w:firstRowLastColumn="0" w:lastRowFirstColumn="0" w:lastRowLastColumn="0"/>
          <w:tblHeader/>
        </w:trPr>
        <w:tc>
          <w:tcPr>
            <w:tcW w:w="6550" w:type="dxa"/>
          </w:tcPr>
          <w:p w14:paraId="504D2E77" w14:textId="77777777" w:rsidR="004C54AF" w:rsidRDefault="004C54AF">
            <w:pPr>
              <w:pStyle w:val="DHHStablecolhead"/>
            </w:pPr>
            <w:r>
              <w:t>Area type</w:t>
            </w:r>
          </w:p>
        </w:tc>
        <w:tc>
          <w:tcPr>
            <w:tcW w:w="2630" w:type="dxa"/>
          </w:tcPr>
          <w:p w14:paraId="3BFC782D" w14:textId="066CAF34" w:rsidR="004C54AF" w:rsidRDefault="004C54AF">
            <w:pPr>
              <w:pStyle w:val="DHHStablecolhead"/>
            </w:pPr>
            <w:r>
              <w:t>Multiplying factor for continuous vibrations</w:t>
            </w:r>
          </w:p>
        </w:tc>
      </w:tr>
      <w:tr w:rsidR="004C54AF" w14:paraId="1B83977D" w14:textId="77777777" w:rsidTr="007C161D">
        <w:tc>
          <w:tcPr>
            <w:tcW w:w="6550" w:type="dxa"/>
          </w:tcPr>
          <w:p w14:paraId="602FAC20" w14:textId="4D9C8C1E" w:rsidR="004C54AF" w:rsidRDefault="004C54AF" w:rsidP="007C161D">
            <w:pPr>
              <w:pStyle w:val="DHHStabletext"/>
            </w:pPr>
            <w:r w:rsidRPr="004C54AF">
              <w:t>Operating theatres, precision laboratories, audiometric testing booth</w:t>
            </w:r>
          </w:p>
        </w:tc>
        <w:tc>
          <w:tcPr>
            <w:tcW w:w="2630" w:type="dxa"/>
          </w:tcPr>
          <w:p w14:paraId="1FEB28A9" w14:textId="7B0E255B" w:rsidR="004C54AF" w:rsidRDefault="004C54AF">
            <w:pPr>
              <w:pStyle w:val="DHHStabletext"/>
            </w:pPr>
            <w:r>
              <w:t>1</w:t>
            </w:r>
          </w:p>
        </w:tc>
      </w:tr>
      <w:tr w:rsidR="004C54AF" w14:paraId="58724546" w14:textId="77777777" w:rsidTr="007C161D">
        <w:tc>
          <w:tcPr>
            <w:tcW w:w="6550" w:type="dxa"/>
          </w:tcPr>
          <w:p w14:paraId="225763D0" w14:textId="5D9165FD" w:rsidR="004C54AF" w:rsidRDefault="004C54AF" w:rsidP="007C161D">
            <w:pPr>
              <w:pStyle w:val="DHHStabletext"/>
            </w:pPr>
            <w:r>
              <w:t>Wards</w:t>
            </w:r>
          </w:p>
        </w:tc>
        <w:tc>
          <w:tcPr>
            <w:tcW w:w="2630" w:type="dxa"/>
          </w:tcPr>
          <w:p w14:paraId="0D9CEE65" w14:textId="3011D23E" w:rsidR="004C54AF" w:rsidRDefault="004C54AF">
            <w:pPr>
              <w:pStyle w:val="DHHStabletext"/>
            </w:pPr>
            <w:r>
              <w:t>2</w:t>
            </w:r>
          </w:p>
        </w:tc>
      </w:tr>
      <w:tr w:rsidR="004C54AF" w14:paraId="77EE7DC8" w14:textId="77777777" w:rsidTr="007C161D">
        <w:tc>
          <w:tcPr>
            <w:tcW w:w="6550" w:type="dxa"/>
          </w:tcPr>
          <w:p w14:paraId="32D86B31" w14:textId="500DDB62" w:rsidR="004C54AF" w:rsidRDefault="004C54AF" w:rsidP="007C161D">
            <w:pPr>
              <w:pStyle w:val="DHHStabletext"/>
            </w:pPr>
            <w:r>
              <w:t>General laboratories, treatment areas</w:t>
            </w:r>
          </w:p>
        </w:tc>
        <w:tc>
          <w:tcPr>
            <w:tcW w:w="2630" w:type="dxa"/>
          </w:tcPr>
          <w:p w14:paraId="33950BB2" w14:textId="0803F632" w:rsidR="004C54AF" w:rsidRDefault="004C54AF">
            <w:pPr>
              <w:pStyle w:val="DHHStabletext"/>
            </w:pPr>
            <w:r>
              <w:t>4</w:t>
            </w:r>
          </w:p>
        </w:tc>
      </w:tr>
      <w:tr w:rsidR="004C54AF" w14:paraId="181A51B1" w14:textId="77777777" w:rsidTr="007C161D">
        <w:tc>
          <w:tcPr>
            <w:tcW w:w="6550" w:type="dxa"/>
          </w:tcPr>
          <w:p w14:paraId="04FA8C6D" w14:textId="30BFE5FD" w:rsidR="004C54AF" w:rsidRDefault="004C54AF" w:rsidP="007C161D">
            <w:pPr>
              <w:pStyle w:val="DHHStabletext"/>
            </w:pPr>
            <w:r>
              <w:t>Offices, consulting rooms</w:t>
            </w:r>
          </w:p>
        </w:tc>
        <w:tc>
          <w:tcPr>
            <w:tcW w:w="2630" w:type="dxa"/>
          </w:tcPr>
          <w:p w14:paraId="1AE9D843" w14:textId="4CE6F9EB" w:rsidR="004C54AF" w:rsidRDefault="004C54AF">
            <w:pPr>
              <w:pStyle w:val="DHHStabletext"/>
            </w:pPr>
            <w:r>
              <w:t>8</w:t>
            </w:r>
          </w:p>
        </w:tc>
      </w:tr>
    </w:tbl>
    <w:p w14:paraId="33352531" w14:textId="75331AE7" w:rsidR="00B34136" w:rsidRPr="00690A0E" w:rsidRDefault="00B34136" w:rsidP="004657F7">
      <w:pPr>
        <w:pStyle w:val="DHHSbodynumberedaftertablefigure"/>
      </w:pPr>
      <w:r w:rsidRPr="00690A0E">
        <w:t>Apart from operating theatres, precision laboratories and other critical environments, the acceleration limits obtained may be reduced by using the vibration dose value (VDV) assessment approach.</w:t>
      </w:r>
      <w:r w:rsidR="00785D6D">
        <w:t xml:space="preserve"> </w:t>
      </w:r>
      <w:r w:rsidRPr="00690A0E">
        <w:t xml:space="preserve">The maximum VDV values are per </w:t>
      </w:r>
      <w:r w:rsidR="004C54AF">
        <w:t xml:space="preserve">the following </w:t>
      </w:r>
      <w:r w:rsidRPr="00690A0E">
        <w:t>table:</w:t>
      </w:r>
    </w:p>
    <w:p w14:paraId="78D7EFB8" w14:textId="4F65855A" w:rsidR="00FA51EE" w:rsidRDefault="00FA51EE" w:rsidP="004657F7">
      <w:pPr>
        <w:pStyle w:val="DHHStablecaption"/>
      </w:pPr>
      <w:r>
        <w:t xml:space="preserve">Table </w:t>
      </w:r>
      <w:fldSimple w:instr=" SEQ Table \* ARABIC ">
        <w:r>
          <w:rPr>
            <w:noProof/>
          </w:rPr>
          <w:t>7</w:t>
        </w:r>
      </w:fldSimple>
      <w:r>
        <w:t>: Maximum VDV values</w:t>
      </w:r>
    </w:p>
    <w:tbl>
      <w:tblPr>
        <w:tblStyle w:val="TableGrid"/>
        <w:tblW w:w="0" w:type="auto"/>
        <w:tblLook w:val="04A0" w:firstRow="1" w:lastRow="0" w:firstColumn="1" w:lastColumn="0" w:noHBand="0" w:noVBand="1"/>
      </w:tblPr>
      <w:tblGrid>
        <w:gridCol w:w="6550"/>
        <w:gridCol w:w="2630"/>
      </w:tblGrid>
      <w:tr w:rsidR="004C54AF" w14:paraId="69D6BA7D" w14:textId="77777777" w:rsidTr="007C161D">
        <w:trPr>
          <w:cnfStyle w:val="100000000000" w:firstRow="1" w:lastRow="0" w:firstColumn="0" w:lastColumn="0" w:oddVBand="0" w:evenVBand="0" w:oddHBand="0" w:evenHBand="0" w:firstRowFirstColumn="0" w:firstRowLastColumn="0" w:lastRowFirstColumn="0" w:lastRowLastColumn="0"/>
          <w:tblHeader/>
        </w:trPr>
        <w:tc>
          <w:tcPr>
            <w:tcW w:w="6550" w:type="dxa"/>
          </w:tcPr>
          <w:p w14:paraId="21CBF499" w14:textId="77777777" w:rsidR="004C54AF" w:rsidRDefault="004C54AF">
            <w:pPr>
              <w:pStyle w:val="DHHStablecolhead"/>
            </w:pPr>
            <w:r>
              <w:t>Area type</w:t>
            </w:r>
          </w:p>
        </w:tc>
        <w:tc>
          <w:tcPr>
            <w:tcW w:w="2630" w:type="dxa"/>
          </w:tcPr>
          <w:p w14:paraId="2873497B" w14:textId="0EAE2313" w:rsidR="004C54AF" w:rsidRDefault="004C54AF">
            <w:pPr>
              <w:pStyle w:val="DHHStablecolhead"/>
            </w:pPr>
            <w:r>
              <w:t xml:space="preserve">Maximum VDV value </w:t>
            </w:r>
            <w:r w:rsidRPr="004C54AF">
              <w:t>(m/s1.75)</w:t>
            </w:r>
          </w:p>
        </w:tc>
      </w:tr>
      <w:tr w:rsidR="004C54AF" w14:paraId="1FAA5BCB" w14:textId="77777777" w:rsidTr="007C161D">
        <w:tc>
          <w:tcPr>
            <w:tcW w:w="6550" w:type="dxa"/>
          </w:tcPr>
          <w:p w14:paraId="6DBD4033" w14:textId="17254A0B" w:rsidR="004C54AF" w:rsidRDefault="004C54AF" w:rsidP="007C161D">
            <w:pPr>
              <w:pStyle w:val="DHHStabletext"/>
            </w:pPr>
            <w:r>
              <w:t>Wards, residential – day</w:t>
            </w:r>
          </w:p>
        </w:tc>
        <w:tc>
          <w:tcPr>
            <w:tcW w:w="2630" w:type="dxa"/>
          </w:tcPr>
          <w:p w14:paraId="1054C8DC" w14:textId="025C21B5" w:rsidR="004C54AF" w:rsidRDefault="004C54AF">
            <w:pPr>
              <w:pStyle w:val="DHHStabletext"/>
            </w:pPr>
            <w:r>
              <w:t>0.2</w:t>
            </w:r>
          </w:p>
        </w:tc>
      </w:tr>
      <w:tr w:rsidR="004C54AF" w14:paraId="7C1DA34C" w14:textId="77777777" w:rsidTr="007C161D">
        <w:tc>
          <w:tcPr>
            <w:tcW w:w="6550" w:type="dxa"/>
          </w:tcPr>
          <w:p w14:paraId="6590333D" w14:textId="3D7A628E" w:rsidR="004C54AF" w:rsidRDefault="004C54AF" w:rsidP="007C161D">
            <w:pPr>
              <w:pStyle w:val="DHHStabletext"/>
            </w:pPr>
            <w:r>
              <w:t>General laboratories, offices</w:t>
            </w:r>
          </w:p>
        </w:tc>
        <w:tc>
          <w:tcPr>
            <w:tcW w:w="2630" w:type="dxa"/>
          </w:tcPr>
          <w:p w14:paraId="680AA9B6" w14:textId="7EDEBEF0" w:rsidR="004C54AF" w:rsidRDefault="004C54AF">
            <w:pPr>
              <w:pStyle w:val="DHHStabletext"/>
            </w:pPr>
            <w:r>
              <w:t>0.4</w:t>
            </w:r>
          </w:p>
        </w:tc>
      </w:tr>
      <w:tr w:rsidR="004C54AF" w14:paraId="1C4CFE61" w14:textId="77777777" w:rsidTr="007C161D">
        <w:tc>
          <w:tcPr>
            <w:tcW w:w="6550" w:type="dxa"/>
          </w:tcPr>
          <w:p w14:paraId="180EA84D" w14:textId="730F906D" w:rsidR="004C54AF" w:rsidRDefault="004C54AF" w:rsidP="007C161D">
            <w:pPr>
              <w:pStyle w:val="DHHStabletext"/>
            </w:pPr>
            <w:r>
              <w:t>Workshops</w:t>
            </w:r>
          </w:p>
        </w:tc>
        <w:tc>
          <w:tcPr>
            <w:tcW w:w="2630" w:type="dxa"/>
          </w:tcPr>
          <w:p w14:paraId="055B5809" w14:textId="569C78EB" w:rsidR="004C54AF" w:rsidRDefault="004C54AF">
            <w:pPr>
              <w:pStyle w:val="DHHStabletext"/>
            </w:pPr>
            <w:r>
              <w:t>0.8</w:t>
            </w:r>
          </w:p>
        </w:tc>
      </w:tr>
    </w:tbl>
    <w:p w14:paraId="142955E5" w14:textId="449C0063" w:rsidR="00B34136" w:rsidRPr="00690A0E" w:rsidRDefault="00B34136" w:rsidP="004657F7">
      <w:pPr>
        <w:pStyle w:val="DHHSbodynumberedaftertablefigure"/>
      </w:pPr>
      <w:r w:rsidRPr="00690A0E">
        <w:t xml:space="preserve">For vibration sensitive equipment, refer to the method set out in </w:t>
      </w:r>
      <w:r w:rsidRPr="004657F7">
        <w:rPr>
          <w:i/>
          <w:iCs/>
        </w:rPr>
        <w:t xml:space="preserve">Design Guide 11 Vibration of </w:t>
      </w:r>
      <w:r w:rsidR="0053705F" w:rsidRPr="004657F7">
        <w:rPr>
          <w:i/>
          <w:iCs/>
        </w:rPr>
        <w:t xml:space="preserve">steel framed structural systems </w:t>
      </w:r>
      <w:r w:rsidRPr="004657F7">
        <w:rPr>
          <w:i/>
          <w:iCs/>
        </w:rPr>
        <w:t>due to human activity – Second Edition</w:t>
      </w:r>
      <w:r w:rsidRPr="00690A0E">
        <w:t>.</w:t>
      </w:r>
      <w:r w:rsidR="00785D6D">
        <w:t xml:space="preserve"> </w:t>
      </w:r>
      <w:r w:rsidRPr="00690A0E">
        <w:t xml:space="preserve">A similar method could be proposed for consideration. </w:t>
      </w:r>
    </w:p>
    <w:p w14:paraId="10D0F4E1" w14:textId="110B6385" w:rsidR="00B34136" w:rsidRPr="00690A0E" w:rsidRDefault="00B34136">
      <w:pPr>
        <w:pStyle w:val="DHHSbodynumbered"/>
      </w:pPr>
      <w:r w:rsidRPr="00690A0E">
        <w:t xml:space="preserve">The minimum vibration criteria are set out </w:t>
      </w:r>
      <w:r w:rsidR="004C54AF">
        <w:t>in the following</w:t>
      </w:r>
      <w:r w:rsidR="004C54AF" w:rsidRPr="00690A0E">
        <w:t xml:space="preserve"> </w:t>
      </w:r>
      <w:r w:rsidRPr="00690A0E">
        <w:t xml:space="preserve">table or per manufacturer’s requirements, whichever </w:t>
      </w:r>
      <w:r w:rsidR="004C54AF">
        <w:t xml:space="preserve">are </w:t>
      </w:r>
      <w:r w:rsidRPr="00690A0E">
        <w:t>more stringent:</w:t>
      </w:r>
    </w:p>
    <w:p w14:paraId="6E0F5F1F" w14:textId="503075E2" w:rsidR="00FA51EE" w:rsidRDefault="00FA51EE" w:rsidP="004657F7">
      <w:pPr>
        <w:pStyle w:val="DHHStablecaption"/>
      </w:pPr>
      <w:r>
        <w:t xml:space="preserve">Table </w:t>
      </w:r>
      <w:fldSimple w:instr=" SEQ Table \* ARABIC ">
        <w:r>
          <w:rPr>
            <w:noProof/>
          </w:rPr>
          <w:t>8</w:t>
        </w:r>
      </w:fldSimple>
      <w:r>
        <w:t>: Maximum RMS velocities</w:t>
      </w:r>
    </w:p>
    <w:tbl>
      <w:tblPr>
        <w:tblStyle w:val="TableGrid"/>
        <w:tblW w:w="0" w:type="auto"/>
        <w:tblLook w:val="04A0" w:firstRow="1" w:lastRow="0" w:firstColumn="1" w:lastColumn="0" w:noHBand="0" w:noVBand="1"/>
      </w:tblPr>
      <w:tblGrid>
        <w:gridCol w:w="6550"/>
        <w:gridCol w:w="2630"/>
      </w:tblGrid>
      <w:tr w:rsidR="009041D3" w14:paraId="39643F44" w14:textId="77777777" w:rsidTr="004657F7">
        <w:trPr>
          <w:cnfStyle w:val="100000000000" w:firstRow="1" w:lastRow="0" w:firstColumn="0" w:lastColumn="0" w:oddVBand="0" w:evenVBand="0" w:oddHBand="0" w:evenHBand="0" w:firstRowFirstColumn="0" w:firstRowLastColumn="0" w:lastRowFirstColumn="0" w:lastRowLastColumn="0"/>
          <w:tblHeader/>
        </w:trPr>
        <w:tc>
          <w:tcPr>
            <w:tcW w:w="6550" w:type="dxa"/>
          </w:tcPr>
          <w:p w14:paraId="3DB1E538" w14:textId="59CC561F" w:rsidR="009041D3" w:rsidRDefault="009041D3" w:rsidP="004657F7">
            <w:pPr>
              <w:pStyle w:val="DHHStablecolhead"/>
            </w:pPr>
            <w:r>
              <w:t>Area type</w:t>
            </w:r>
          </w:p>
        </w:tc>
        <w:tc>
          <w:tcPr>
            <w:tcW w:w="2630" w:type="dxa"/>
          </w:tcPr>
          <w:p w14:paraId="6CB36630" w14:textId="0A529235" w:rsidR="009041D3" w:rsidRDefault="009041D3" w:rsidP="004657F7">
            <w:pPr>
              <w:pStyle w:val="DHHStablecolhead"/>
            </w:pPr>
            <w:r>
              <w:t xml:space="preserve">Maximum RMS velocity </w:t>
            </w:r>
            <w:r w:rsidRPr="009041D3">
              <w:t>(</w:t>
            </w:r>
            <w:proofErr w:type="spellStart"/>
            <w:r w:rsidRPr="009041D3">
              <w:t>μm</w:t>
            </w:r>
            <w:proofErr w:type="spellEnd"/>
            <w:r w:rsidRPr="009041D3">
              <w:t>/sec) (1 to 80</w:t>
            </w:r>
            <w:r w:rsidR="006950BC">
              <w:t xml:space="preserve"> Hz</w:t>
            </w:r>
            <w:r w:rsidRPr="009041D3">
              <w:t>)</w:t>
            </w:r>
          </w:p>
        </w:tc>
      </w:tr>
      <w:tr w:rsidR="009041D3" w14:paraId="3715DC92" w14:textId="77777777" w:rsidTr="004657F7">
        <w:tc>
          <w:tcPr>
            <w:tcW w:w="6550" w:type="dxa"/>
          </w:tcPr>
          <w:p w14:paraId="55DBE90C" w14:textId="4324509A" w:rsidR="009041D3" w:rsidRDefault="009041D3" w:rsidP="004657F7">
            <w:pPr>
              <w:pStyle w:val="DHHStabletext"/>
            </w:pPr>
            <w:r>
              <w:t>Laboratory robots</w:t>
            </w:r>
          </w:p>
        </w:tc>
        <w:tc>
          <w:tcPr>
            <w:tcW w:w="2630" w:type="dxa"/>
          </w:tcPr>
          <w:p w14:paraId="708846ED" w14:textId="74773E00" w:rsidR="009041D3" w:rsidRDefault="009041D3" w:rsidP="004657F7">
            <w:pPr>
              <w:pStyle w:val="DHHStabletext"/>
            </w:pPr>
            <w:r>
              <w:t>100</w:t>
            </w:r>
          </w:p>
        </w:tc>
      </w:tr>
      <w:tr w:rsidR="009041D3" w14:paraId="1231AE32" w14:textId="77777777" w:rsidTr="004657F7">
        <w:tc>
          <w:tcPr>
            <w:tcW w:w="6550" w:type="dxa"/>
          </w:tcPr>
          <w:p w14:paraId="5CBBAB39" w14:textId="174630FD" w:rsidR="009041D3" w:rsidRDefault="004C54AF" w:rsidP="004657F7">
            <w:pPr>
              <w:pStyle w:val="DHHStabletext"/>
            </w:pPr>
            <w:r>
              <w:t>Be</w:t>
            </w:r>
            <w:r w:rsidR="009041D3">
              <w:t>nch microscopes at up to 400x magnification, precision balances</w:t>
            </w:r>
          </w:p>
        </w:tc>
        <w:tc>
          <w:tcPr>
            <w:tcW w:w="2630" w:type="dxa"/>
          </w:tcPr>
          <w:p w14:paraId="26A48FE9" w14:textId="3274EECB" w:rsidR="009041D3" w:rsidRDefault="009041D3" w:rsidP="004657F7">
            <w:pPr>
              <w:pStyle w:val="DHHStabletext"/>
            </w:pPr>
            <w:r>
              <w:t>50</w:t>
            </w:r>
          </w:p>
        </w:tc>
      </w:tr>
      <w:tr w:rsidR="009041D3" w14:paraId="7ABBD7E0" w14:textId="77777777" w:rsidTr="004657F7">
        <w:tc>
          <w:tcPr>
            <w:tcW w:w="6550" w:type="dxa"/>
          </w:tcPr>
          <w:p w14:paraId="16F471C2" w14:textId="7256C78E" w:rsidR="009041D3" w:rsidRDefault="009041D3" w:rsidP="004657F7">
            <w:pPr>
              <w:pStyle w:val="DHHStabletext"/>
            </w:pPr>
            <w:r>
              <w:t>Microsurgery, bench microscopes at greater than 400x magnification</w:t>
            </w:r>
          </w:p>
        </w:tc>
        <w:tc>
          <w:tcPr>
            <w:tcW w:w="2630" w:type="dxa"/>
          </w:tcPr>
          <w:p w14:paraId="3ABCDECB" w14:textId="5ADD5C3B" w:rsidR="009041D3" w:rsidRDefault="009041D3" w:rsidP="004657F7">
            <w:pPr>
              <w:pStyle w:val="DHHStabletext"/>
            </w:pPr>
            <w:r>
              <w:t>25</w:t>
            </w:r>
          </w:p>
        </w:tc>
      </w:tr>
      <w:tr w:rsidR="009041D3" w14:paraId="5D248012" w14:textId="77777777" w:rsidTr="004657F7">
        <w:tc>
          <w:tcPr>
            <w:tcW w:w="6550" w:type="dxa"/>
          </w:tcPr>
          <w:p w14:paraId="1355AD2E" w14:textId="0F2AB57A" w:rsidR="009041D3" w:rsidRDefault="009041D3" w:rsidP="004657F7">
            <w:pPr>
              <w:pStyle w:val="DHHStabletext"/>
            </w:pPr>
            <w:r>
              <w:t>MRI, electron microscopes up to 30,000 magnification</w:t>
            </w:r>
          </w:p>
        </w:tc>
        <w:tc>
          <w:tcPr>
            <w:tcW w:w="2630" w:type="dxa"/>
          </w:tcPr>
          <w:p w14:paraId="58E17A7A" w14:textId="49D5903D" w:rsidR="009041D3" w:rsidRDefault="004C54AF" w:rsidP="004657F7">
            <w:pPr>
              <w:pStyle w:val="DHHStabletext"/>
            </w:pPr>
            <w:r>
              <w:t>12</w:t>
            </w:r>
          </w:p>
        </w:tc>
      </w:tr>
    </w:tbl>
    <w:p w14:paraId="2A520C15" w14:textId="747D9AB8" w:rsidR="00B34136" w:rsidRPr="00690A0E" w:rsidRDefault="00B34136" w:rsidP="004657F7">
      <w:pPr>
        <w:pStyle w:val="DHHSbodynumberedaftertablefigure"/>
      </w:pPr>
      <w:r w:rsidRPr="00690A0E">
        <w:t>For plant equipment, the guidelines of the</w:t>
      </w:r>
      <w:r w:rsidR="004C54AF">
        <w:t xml:space="preserve"> UK</w:t>
      </w:r>
      <w:r w:rsidRPr="00690A0E">
        <w:t xml:space="preserve"> Department of Health</w:t>
      </w:r>
      <w:r w:rsidR="004C54AF">
        <w:t>’s</w:t>
      </w:r>
      <w:r w:rsidRPr="00690A0E">
        <w:t xml:space="preserve"> Technical </w:t>
      </w:r>
      <w:r w:rsidR="004C54AF">
        <w:t>m</w:t>
      </w:r>
      <w:r w:rsidR="004C54AF" w:rsidRPr="00690A0E">
        <w:t xml:space="preserve">emorandum </w:t>
      </w:r>
      <w:r w:rsidRPr="00690A0E">
        <w:t>8-01</w:t>
      </w:r>
      <w:r>
        <w:t xml:space="preserve"> will</w:t>
      </w:r>
      <w:r w:rsidRPr="00690A0E">
        <w:t xml:space="preserve"> apply unless agreed otherwise.</w:t>
      </w:r>
    </w:p>
    <w:p w14:paraId="104F44EF" w14:textId="5A080407" w:rsidR="00B34136" w:rsidRPr="00690A0E" w:rsidRDefault="00B34136" w:rsidP="004657F7">
      <w:pPr>
        <w:pStyle w:val="Heading3"/>
      </w:pPr>
      <w:r w:rsidRPr="00690A0E">
        <w:lastRenderedPageBreak/>
        <w:t xml:space="preserve">Future </w:t>
      </w:r>
      <w:r w:rsidR="00453DD2" w:rsidRPr="00690A0E">
        <w:t>proofing and planning flexibility</w:t>
      </w:r>
    </w:p>
    <w:p w14:paraId="4C143F6B" w14:textId="11A56DD2" w:rsidR="00B34136" w:rsidRPr="00690A0E" w:rsidRDefault="00B34136">
      <w:pPr>
        <w:pStyle w:val="DHHSbodynumbered"/>
      </w:pPr>
      <w:r w:rsidRPr="00690A0E">
        <w:t xml:space="preserve">Planning considerations </w:t>
      </w:r>
      <w:r>
        <w:t>will</w:t>
      </w:r>
      <w:r w:rsidRPr="00690A0E">
        <w:t xml:space="preserve"> be given to the ability to change floor layouts without undue effect on other parts of the structure.</w:t>
      </w:r>
      <w:r w:rsidR="00785D6D">
        <w:t xml:space="preserve"> </w:t>
      </w:r>
      <w:r w:rsidRPr="00690A0E">
        <w:t>Load bearing walls must be located such that they will not inhibit future planning.</w:t>
      </w:r>
    </w:p>
    <w:p w14:paraId="3FD1C75C" w14:textId="6BA6B5F4" w:rsidR="00B34136" w:rsidRPr="00690A0E" w:rsidRDefault="00A526AB">
      <w:pPr>
        <w:pStyle w:val="DHHSbodynumbered"/>
      </w:pPr>
      <w:r>
        <w:t>A</w:t>
      </w:r>
      <w:r w:rsidR="00B34136" w:rsidRPr="00690A0E">
        <w:t xml:space="preserve">llow for future 200mm diameter penetrations </w:t>
      </w:r>
      <w:r>
        <w:t>a</w:t>
      </w:r>
      <w:r w:rsidRPr="00690A0E">
        <w:t xml:space="preserve">round columns </w:t>
      </w:r>
      <w:r w:rsidR="00B34136" w:rsidRPr="00690A0E">
        <w:t xml:space="preserve">unless there are designed penetrations. </w:t>
      </w:r>
      <w:r>
        <w:t>Place</w:t>
      </w:r>
      <w:r w:rsidRPr="00690A0E">
        <w:t xml:space="preserve"> </w:t>
      </w:r>
      <w:r w:rsidR="00B34136" w:rsidRPr="00690A0E">
        <w:t xml:space="preserve">reinforcements or tendons </w:t>
      </w:r>
      <w:r>
        <w:t xml:space="preserve">(or both) </w:t>
      </w:r>
      <w:r w:rsidR="00B34136" w:rsidRPr="00690A0E">
        <w:t>such that the penetrations can be installed without being clashed.</w:t>
      </w:r>
    </w:p>
    <w:p w14:paraId="6DD9E5F1" w14:textId="759F4554" w:rsidR="00B34136" w:rsidRPr="00690A0E" w:rsidRDefault="00B34136">
      <w:pPr>
        <w:pStyle w:val="DHHSbodynumbered"/>
      </w:pPr>
      <w:r w:rsidRPr="00690A0E">
        <w:t>If the structure has allowance for future levels, ensure that any plant and services on the roofs do not interfere with the future extension.</w:t>
      </w:r>
      <w:r w:rsidR="00785D6D">
        <w:t xml:space="preserve"> </w:t>
      </w:r>
      <w:r w:rsidRPr="00690A0E">
        <w:t xml:space="preserve">An appropriate construction loading </w:t>
      </w:r>
      <w:r>
        <w:t>will</w:t>
      </w:r>
      <w:r w:rsidRPr="00690A0E">
        <w:t xml:space="preserve"> be allowed to the roof to minimise disruption to the facility’s operation due to extension construction activities.</w:t>
      </w:r>
    </w:p>
    <w:p w14:paraId="5B57405E" w14:textId="17C1A54F" w:rsidR="00B34136" w:rsidRPr="00690A0E" w:rsidRDefault="00B34136" w:rsidP="00041640">
      <w:pPr>
        <w:pStyle w:val="Heading3"/>
      </w:pPr>
      <w:r w:rsidRPr="00690A0E">
        <w:t xml:space="preserve">Radiation </w:t>
      </w:r>
      <w:r w:rsidR="00453DD2" w:rsidRPr="00690A0E">
        <w:t>bunkers</w:t>
      </w:r>
    </w:p>
    <w:p w14:paraId="3D4D2CB1" w14:textId="279133CE" w:rsidR="00B34136" w:rsidRPr="00690A0E" w:rsidRDefault="00B34136">
      <w:pPr>
        <w:pStyle w:val="DHHSbodynumbered"/>
      </w:pPr>
      <w:r w:rsidRPr="00690A0E">
        <w:t>Radiation bunkers must be designed to prevent radiation from escaping the bunkers.</w:t>
      </w:r>
      <w:r w:rsidR="00785D6D">
        <w:t xml:space="preserve"> </w:t>
      </w:r>
      <w:r w:rsidRPr="00690A0E">
        <w:t>Appropriate detailing of the reinforcement, high density concrete, steel lining, pour joints</w:t>
      </w:r>
      <w:r w:rsidR="00FA51EE">
        <w:t xml:space="preserve"> and</w:t>
      </w:r>
      <w:r w:rsidRPr="00690A0E">
        <w:t xml:space="preserve"> services reticulation </w:t>
      </w:r>
      <w:r>
        <w:t>will</w:t>
      </w:r>
      <w:r w:rsidRPr="00690A0E">
        <w:t xml:space="preserve"> be clearly documented to achieve the intended function and optimum buildability.</w:t>
      </w:r>
    </w:p>
    <w:p w14:paraId="54B85445" w14:textId="528E70EA" w:rsidR="00B34136" w:rsidRPr="00690A0E" w:rsidRDefault="00B34136" w:rsidP="00041640">
      <w:pPr>
        <w:pStyle w:val="Heading3"/>
      </w:pPr>
      <w:r w:rsidRPr="00690A0E">
        <w:t xml:space="preserve">Liquid </w:t>
      </w:r>
      <w:r w:rsidR="00453DD2" w:rsidRPr="00690A0E">
        <w:t>nitrogen base or liquid oxygen base</w:t>
      </w:r>
    </w:p>
    <w:p w14:paraId="3E85D054" w14:textId="58A71D54" w:rsidR="00B34136" w:rsidRPr="00690A0E" w:rsidRDefault="00B34136">
      <w:pPr>
        <w:pStyle w:val="DHHSbodynumbered"/>
      </w:pPr>
      <w:r w:rsidRPr="00690A0E">
        <w:t xml:space="preserve">Where possible, provide sacrificial and readily replaceable reinforced concrete apron to enable swift replacement in case of damage </w:t>
      </w:r>
      <w:r w:rsidR="00FA51EE">
        <w:t>(</w:t>
      </w:r>
      <w:r w:rsidRPr="00690A0E">
        <w:t>such as during filling</w:t>
      </w:r>
      <w:r w:rsidR="00FA51EE">
        <w:t>)</w:t>
      </w:r>
      <w:r w:rsidRPr="00690A0E">
        <w:t>.</w:t>
      </w:r>
    </w:p>
    <w:p w14:paraId="2E960A9F" w14:textId="236CC1C8" w:rsidR="00B34136" w:rsidRPr="00690A0E" w:rsidRDefault="00B34136" w:rsidP="00041640">
      <w:pPr>
        <w:pStyle w:val="Heading3"/>
      </w:pPr>
      <w:r w:rsidRPr="00690A0E">
        <w:t xml:space="preserve">Winch </w:t>
      </w:r>
      <w:r w:rsidR="00453DD2" w:rsidRPr="00690A0E">
        <w:t>points</w:t>
      </w:r>
    </w:p>
    <w:p w14:paraId="4D224303" w14:textId="77777777" w:rsidR="00B34136" w:rsidRPr="00690A0E" w:rsidRDefault="00B34136">
      <w:pPr>
        <w:pStyle w:val="DHHSbodynumbered"/>
      </w:pPr>
      <w:r w:rsidRPr="00690A0E">
        <w:t xml:space="preserve">The structural design </w:t>
      </w:r>
      <w:r>
        <w:t>will</w:t>
      </w:r>
      <w:r w:rsidRPr="00690A0E">
        <w:t xml:space="preserve"> allow for reactions from winch points for installation of heavy equipment.</w:t>
      </w:r>
    </w:p>
    <w:p w14:paraId="3671AE58" w14:textId="6B4B1461" w:rsidR="00B34136" w:rsidRPr="00690A0E" w:rsidRDefault="00B34136" w:rsidP="00041640">
      <w:pPr>
        <w:pStyle w:val="Heading3"/>
      </w:pPr>
      <w:r w:rsidRPr="00690A0E">
        <w:t xml:space="preserve">Specialist </w:t>
      </w:r>
      <w:r w:rsidR="00453DD2" w:rsidRPr="00690A0E">
        <w:t>contractors</w:t>
      </w:r>
    </w:p>
    <w:p w14:paraId="423A4128" w14:textId="7F7D541D" w:rsidR="00B34136" w:rsidRPr="00690A0E" w:rsidRDefault="00B34136">
      <w:pPr>
        <w:pStyle w:val="DHHSbodynumbered"/>
      </w:pPr>
      <w:r w:rsidRPr="00690A0E">
        <w:t xml:space="preserve">The documentation </w:t>
      </w:r>
      <w:r>
        <w:t>will</w:t>
      </w:r>
      <w:r w:rsidRPr="00690A0E">
        <w:t xml:space="preserve"> specify that all specialist contractors (specialist piling contractor, post-tensioned contractor) </w:t>
      </w:r>
      <w:r>
        <w:t>will</w:t>
      </w:r>
      <w:r w:rsidRPr="00690A0E">
        <w:t xml:space="preserve"> be approved by the </w:t>
      </w:r>
      <w:r w:rsidR="00FA51EE">
        <w:t>d</w:t>
      </w:r>
      <w:r w:rsidRPr="00690A0E">
        <w:t>epartment</w:t>
      </w:r>
    </w:p>
    <w:p w14:paraId="4FE2778B" w14:textId="77777777" w:rsidR="00B34136" w:rsidRPr="00690A0E" w:rsidRDefault="00B34136" w:rsidP="00041640">
      <w:pPr>
        <w:pStyle w:val="Heading3"/>
      </w:pPr>
      <w:r w:rsidRPr="00690A0E">
        <w:t>Roofs</w:t>
      </w:r>
    </w:p>
    <w:p w14:paraId="3E10EB6F" w14:textId="77777777" w:rsidR="00B34136" w:rsidRPr="00690A0E" w:rsidRDefault="00B34136">
      <w:pPr>
        <w:pStyle w:val="DHHSbodynumbered"/>
      </w:pPr>
      <w:r w:rsidRPr="00690A0E">
        <w:t xml:space="preserve">Complex roof designs, internal box guttering and high maintenance features </w:t>
      </w:r>
      <w:r>
        <w:t>will</w:t>
      </w:r>
      <w:r w:rsidRPr="00690A0E">
        <w:t xml:space="preserve"> be avoided.</w:t>
      </w:r>
    </w:p>
    <w:p w14:paraId="2A24D64B" w14:textId="5E03994A" w:rsidR="00B34136" w:rsidRPr="00690A0E" w:rsidRDefault="00B34136">
      <w:pPr>
        <w:pStyle w:val="DHHSbodynumbered"/>
      </w:pPr>
      <w:r w:rsidRPr="00690A0E">
        <w:t xml:space="preserve">It is recommended </w:t>
      </w:r>
      <w:r w:rsidRPr="00041640">
        <w:rPr>
          <w:rStyle w:val="Strong"/>
        </w:rPr>
        <w:t>not</w:t>
      </w:r>
      <w:r w:rsidRPr="00690A0E">
        <w:t xml:space="preserve"> to use metal sheet steel roof over critical areas with pendants or radiation equipment</w:t>
      </w:r>
      <w:r w:rsidR="00FA51EE">
        <w:t>,</w:t>
      </w:r>
      <w:r w:rsidRPr="00690A0E">
        <w:t xml:space="preserve"> such </w:t>
      </w:r>
      <w:r w:rsidR="0053705F" w:rsidRPr="00690A0E">
        <w:t>as operating theatres</w:t>
      </w:r>
      <w:r w:rsidRPr="00690A0E">
        <w:t>, MRI’s</w:t>
      </w:r>
      <w:r>
        <w:t xml:space="preserve">, </w:t>
      </w:r>
      <w:r w:rsidR="0053705F">
        <w:t>linear accelerators</w:t>
      </w:r>
      <w:r>
        <w:t>.</w:t>
      </w:r>
    </w:p>
    <w:p w14:paraId="623DD456" w14:textId="215C431C" w:rsidR="00B34136" w:rsidRPr="00690A0E" w:rsidRDefault="00B34136" w:rsidP="00041640">
      <w:pPr>
        <w:pStyle w:val="Heading2"/>
      </w:pPr>
      <w:bookmarkStart w:id="120" w:name="_Toc22890864"/>
      <w:bookmarkStart w:id="121" w:name="_Toc29400840"/>
      <w:bookmarkStart w:id="122" w:name="_Toc42621672"/>
      <w:r w:rsidRPr="00690A0E">
        <w:t xml:space="preserve">Structural </w:t>
      </w:r>
      <w:r w:rsidR="00453DD2" w:rsidRPr="00713F42">
        <w:t>documentation</w:t>
      </w:r>
      <w:bookmarkEnd w:id="120"/>
      <w:bookmarkEnd w:id="121"/>
      <w:bookmarkEnd w:id="122"/>
    </w:p>
    <w:p w14:paraId="7907BFF4" w14:textId="0D2C5493" w:rsidR="00B34136" w:rsidRPr="00690A0E" w:rsidRDefault="00B34136" w:rsidP="00041640">
      <w:pPr>
        <w:pStyle w:val="Heading3"/>
      </w:pPr>
      <w:r w:rsidRPr="00690A0E">
        <w:t xml:space="preserve">Structural </w:t>
      </w:r>
      <w:r w:rsidR="00453DD2" w:rsidRPr="00690A0E">
        <w:t>drawings</w:t>
      </w:r>
    </w:p>
    <w:p w14:paraId="395BF63E" w14:textId="205EFDBA" w:rsidR="00B34136" w:rsidRPr="00690A0E" w:rsidRDefault="00B34136">
      <w:pPr>
        <w:pStyle w:val="DHHSbodynumbered"/>
      </w:pPr>
      <w:r w:rsidRPr="00690A0E">
        <w:t xml:space="preserve">Structural </w:t>
      </w:r>
      <w:r w:rsidR="0053705F" w:rsidRPr="00690A0E">
        <w:t xml:space="preserve">drawings </w:t>
      </w:r>
      <w:r>
        <w:t>will</w:t>
      </w:r>
      <w:r w:rsidRPr="00690A0E">
        <w:t xml:space="preserve"> include, as a minimum, the following:</w:t>
      </w:r>
    </w:p>
    <w:p w14:paraId="18027314" w14:textId="0268C8FE" w:rsidR="00B34136" w:rsidRPr="00690A0E" w:rsidRDefault="0053705F">
      <w:pPr>
        <w:pStyle w:val="DHHSbullet1indent"/>
      </w:pPr>
      <w:r w:rsidRPr="00690A0E">
        <w:t>general notes, including relevant standards used in the design</w:t>
      </w:r>
    </w:p>
    <w:p w14:paraId="310595D7" w14:textId="000E98AF" w:rsidR="00B34136" w:rsidRPr="00690A0E" w:rsidRDefault="0053705F">
      <w:pPr>
        <w:pStyle w:val="DHHSbullet1indent"/>
      </w:pPr>
      <w:r w:rsidRPr="00690A0E">
        <w:t>design life</w:t>
      </w:r>
    </w:p>
    <w:p w14:paraId="3E522F33" w14:textId="785E814C" w:rsidR="00B34136" w:rsidRPr="00690A0E" w:rsidRDefault="0053705F">
      <w:pPr>
        <w:pStyle w:val="DHHSbullet1indent"/>
      </w:pPr>
      <w:r w:rsidRPr="00690A0E">
        <w:t>design parameters for seismic and wind</w:t>
      </w:r>
    </w:p>
    <w:p w14:paraId="71E9860D" w14:textId="185DFAFC" w:rsidR="00B34136" w:rsidRPr="00690A0E" w:rsidRDefault="0053705F">
      <w:pPr>
        <w:pStyle w:val="DHHSbullet1indent"/>
      </w:pPr>
      <w:r w:rsidRPr="00690A0E">
        <w:t>geotechnical foundation design criteria</w:t>
      </w:r>
    </w:p>
    <w:p w14:paraId="26C8885A" w14:textId="158E74B4" w:rsidR="00B34136" w:rsidRPr="00690A0E" w:rsidRDefault="0053705F">
      <w:pPr>
        <w:pStyle w:val="DHHSbullet1indent"/>
      </w:pPr>
      <w:r w:rsidRPr="00690A0E">
        <w:t>loading plans</w:t>
      </w:r>
      <w:r w:rsidR="00FA51EE">
        <w:t xml:space="preserve"> </w:t>
      </w:r>
      <w:r>
        <w:t>will</w:t>
      </w:r>
      <w:r w:rsidRPr="00690A0E">
        <w:t xml:space="preserve"> be provided for each level and include: </w:t>
      </w:r>
    </w:p>
    <w:p w14:paraId="7623A043" w14:textId="0253750A" w:rsidR="00B34136" w:rsidRPr="00690A0E" w:rsidRDefault="0053705F">
      <w:pPr>
        <w:pStyle w:val="DHHSbullet2"/>
        <w:ind w:left="1287"/>
      </w:pPr>
      <w:r w:rsidRPr="00690A0E">
        <w:t>superimposed dead load</w:t>
      </w:r>
    </w:p>
    <w:p w14:paraId="4FC813B0" w14:textId="48CFCF88" w:rsidR="00B34136" w:rsidRPr="00690A0E" w:rsidRDefault="0053705F">
      <w:pPr>
        <w:pStyle w:val="DHHSbullet2"/>
        <w:ind w:left="1287"/>
      </w:pPr>
      <w:r w:rsidRPr="00690A0E">
        <w:t>live load</w:t>
      </w:r>
    </w:p>
    <w:p w14:paraId="49A82FC3" w14:textId="21E593BD" w:rsidR="00B34136" w:rsidRPr="00690A0E" w:rsidRDefault="0053705F">
      <w:pPr>
        <w:pStyle w:val="DHHSbullet2"/>
        <w:ind w:left="1287"/>
      </w:pPr>
      <w:r w:rsidRPr="00690A0E">
        <w:lastRenderedPageBreak/>
        <w:t>heavy suspended services and heavy equipment including their planned replacement routes, as applicable</w:t>
      </w:r>
    </w:p>
    <w:p w14:paraId="4984EE41" w14:textId="713244F5" w:rsidR="00B34136" w:rsidRPr="00690A0E" w:rsidRDefault="0053705F">
      <w:pPr>
        <w:pStyle w:val="DHHSbullet1indent"/>
      </w:pPr>
      <w:r w:rsidRPr="00690A0E">
        <w:t>future proofing allowances</w:t>
      </w:r>
      <w:r w:rsidR="00B34136" w:rsidRPr="00690A0E">
        <w:t>, as applicable</w:t>
      </w:r>
      <w:r w:rsidR="00FA51EE">
        <w:t xml:space="preserve"> – t</w:t>
      </w:r>
      <w:r w:rsidR="00B34136" w:rsidRPr="00690A0E">
        <w:t>he description of the future proofing must be clear and sufficient on the structural drawings, to the extent that future works can be relied upon.</w:t>
      </w:r>
    </w:p>
    <w:p w14:paraId="0BB5000B" w14:textId="07BE27B8" w:rsidR="00B34136" w:rsidRPr="00690A0E" w:rsidRDefault="00B34136" w:rsidP="00041640">
      <w:pPr>
        <w:pStyle w:val="Heading3"/>
      </w:pPr>
      <w:r w:rsidRPr="00690A0E">
        <w:t xml:space="preserve">Structural </w:t>
      </w:r>
      <w:r w:rsidR="00453DD2" w:rsidRPr="00690A0E">
        <w:t>specifications</w:t>
      </w:r>
    </w:p>
    <w:p w14:paraId="39CF63F6" w14:textId="2E61FEC5" w:rsidR="00B34136" w:rsidRPr="00690A0E" w:rsidRDefault="00B34136">
      <w:pPr>
        <w:pStyle w:val="DHHSbodynumbered"/>
      </w:pPr>
      <w:r w:rsidRPr="00690A0E">
        <w:t xml:space="preserve">Structural </w:t>
      </w:r>
      <w:r w:rsidR="00453DD2" w:rsidRPr="00690A0E">
        <w:t xml:space="preserve">specifications </w:t>
      </w:r>
      <w:r w:rsidRPr="00690A0E">
        <w:t xml:space="preserve">must be provided and forms part of </w:t>
      </w:r>
      <w:r w:rsidR="00453DD2" w:rsidRPr="00690A0E">
        <w:t>the contract documents</w:t>
      </w:r>
      <w:r w:rsidRPr="00690A0E">
        <w:t>.</w:t>
      </w:r>
    </w:p>
    <w:p w14:paraId="643AB685" w14:textId="0147CA36" w:rsidR="00B34136" w:rsidRPr="00690A0E" w:rsidRDefault="00B34136" w:rsidP="00041640">
      <w:pPr>
        <w:pStyle w:val="Heading3"/>
      </w:pPr>
      <w:r w:rsidRPr="00690A0E">
        <w:t xml:space="preserve">As-built </w:t>
      </w:r>
      <w:r w:rsidR="00453DD2" w:rsidRPr="00690A0E">
        <w:t>structural drawings</w:t>
      </w:r>
    </w:p>
    <w:p w14:paraId="3B790A92" w14:textId="3E5E1D8B" w:rsidR="00B34136" w:rsidRPr="00690A0E" w:rsidRDefault="00B34136">
      <w:pPr>
        <w:pStyle w:val="DHHSbodynumbered"/>
      </w:pPr>
      <w:r w:rsidRPr="00690A0E">
        <w:t xml:space="preserve">A set of as-built structural drawings </w:t>
      </w:r>
      <w:r>
        <w:t>will</w:t>
      </w:r>
      <w:r w:rsidRPr="00690A0E">
        <w:t xml:space="preserve"> be issued to the </w:t>
      </w:r>
      <w:r w:rsidR="00453DD2" w:rsidRPr="00690A0E">
        <w:t>department</w:t>
      </w:r>
      <w:r w:rsidRPr="00690A0E">
        <w:t>.</w:t>
      </w:r>
    </w:p>
    <w:p w14:paraId="2D975F5A" w14:textId="0DBC814E" w:rsidR="00B34136" w:rsidRPr="00690A0E" w:rsidRDefault="00B34136" w:rsidP="00041640">
      <w:pPr>
        <w:pStyle w:val="Heading2"/>
      </w:pPr>
      <w:bookmarkStart w:id="123" w:name="_Toc22890865"/>
      <w:bookmarkStart w:id="124" w:name="_Toc29400841"/>
      <w:bookmarkStart w:id="125" w:name="_Toc42621673"/>
      <w:r w:rsidRPr="00690A0E">
        <w:t xml:space="preserve">Modifications </w:t>
      </w:r>
      <w:r w:rsidR="00453DD2" w:rsidRPr="00690A0E">
        <w:t>and alterations to existing structure</w:t>
      </w:r>
      <w:r w:rsidRPr="00690A0E">
        <w:t>s</w:t>
      </w:r>
      <w:bookmarkEnd w:id="123"/>
      <w:bookmarkEnd w:id="124"/>
      <w:bookmarkEnd w:id="125"/>
    </w:p>
    <w:p w14:paraId="2331D125" w14:textId="1458E038" w:rsidR="00B34136" w:rsidRPr="00690A0E" w:rsidRDefault="00B34136">
      <w:pPr>
        <w:pStyle w:val="DHHSbodynumbered"/>
      </w:pPr>
      <w:r w:rsidRPr="00690A0E">
        <w:t xml:space="preserve">The existing structure </w:t>
      </w:r>
      <w:r>
        <w:t>will</w:t>
      </w:r>
      <w:r w:rsidRPr="00690A0E">
        <w:t xml:space="preserve"> be reviewed and a report provided to the </w:t>
      </w:r>
      <w:r w:rsidR="0053705F" w:rsidRPr="00690A0E">
        <w:t>department</w:t>
      </w:r>
      <w:r w:rsidRPr="00690A0E">
        <w:t>.</w:t>
      </w:r>
      <w:r w:rsidR="00785D6D">
        <w:t xml:space="preserve"> </w:t>
      </w:r>
      <w:r w:rsidRPr="00690A0E">
        <w:t xml:space="preserve">This report </w:t>
      </w:r>
      <w:r>
        <w:t>will</w:t>
      </w:r>
      <w:r w:rsidRPr="00690A0E">
        <w:t xml:space="preserve"> provide the assessed current structural conditions as well as compliance status with the requirements of these </w:t>
      </w:r>
      <w:r w:rsidR="0053705F" w:rsidRPr="00690A0E">
        <w:t>guidelines</w:t>
      </w:r>
      <w:r w:rsidRPr="00690A0E">
        <w:t>.</w:t>
      </w:r>
    </w:p>
    <w:p w14:paraId="49313CED" w14:textId="4D7E0165" w:rsidR="00B34136" w:rsidRPr="00690A0E" w:rsidRDefault="00B34136">
      <w:pPr>
        <w:pStyle w:val="DHHSbodynumbered"/>
      </w:pPr>
      <w:r w:rsidRPr="00690A0E">
        <w:t xml:space="preserve">Projects involving alterations or additions to existing buildings </w:t>
      </w:r>
      <w:r>
        <w:t>will</w:t>
      </w:r>
      <w:r w:rsidRPr="00690A0E">
        <w:t xml:space="preserve"> be designed, programmed and phased to minimise disruption </w:t>
      </w:r>
      <w:r w:rsidR="00FA51EE">
        <w:t>to</w:t>
      </w:r>
      <w:r w:rsidRPr="00690A0E">
        <w:t xml:space="preserve"> the on-going operation of the existing facilities.</w:t>
      </w:r>
    </w:p>
    <w:p w14:paraId="00FB2AB1" w14:textId="76086AB0" w:rsidR="00B34136" w:rsidRPr="00690A0E" w:rsidRDefault="00B34136" w:rsidP="00041640">
      <w:pPr>
        <w:pStyle w:val="Heading2"/>
      </w:pPr>
      <w:bookmarkStart w:id="126" w:name="_Toc22890866"/>
      <w:bookmarkStart w:id="127" w:name="_Toc29400842"/>
      <w:bookmarkStart w:id="128" w:name="_Toc42621674"/>
      <w:r w:rsidRPr="00690A0E">
        <w:t xml:space="preserve">Site </w:t>
      </w:r>
      <w:r w:rsidR="007C161D">
        <w:t>and</w:t>
      </w:r>
      <w:r w:rsidRPr="00690A0E">
        <w:t xml:space="preserve"> </w:t>
      </w:r>
      <w:r w:rsidR="00453DD2" w:rsidRPr="00690A0E">
        <w:t>civil works</w:t>
      </w:r>
      <w:bookmarkEnd w:id="126"/>
      <w:bookmarkEnd w:id="127"/>
      <w:bookmarkEnd w:id="128"/>
    </w:p>
    <w:p w14:paraId="3EA16C91" w14:textId="77777777" w:rsidR="00B34136" w:rsidRPr="00690A0E" w:rsidRDefault="00B34136">
      <w:pPr>
        <w:pStyle w:val="DHHSbodynumbered"/>
      </w:pPr>
      <w:r w:rsidRPr="00690A0E">
        <w:t xml:space="preserve">Paved roads </w:t>
      </w:r>
      <w:r>
        <w:t>will</w:t>
      </w:r>
      <w:r w:rsidRPr="00690A0E">
        <w:t xml:space="preserve"> be provided within the boundaries of the site for access to all entrances, parking areas, service, delivery and maintenance points and emergency receiving points (if applicable).</w:t>
      </w:r>
    </w:p>
    <w:p w14:paraId="51CECD38" w14:textId="45F0F9B1" w:rsidR="00B34136" w:rsidRPr="00690A0E" w:rsidRDefault="00B34136">
      <w:pPr>
        <w:pStyle w:val="DHHSbodynumbered"/>
      </w:pPr>
      <w:r w:rsidRPr="00690A0E">
        <w:t xml:space="preserve">Paved pathways </w:t>
      </w:r>
      <w:r>
        <w:t>will</w:t>
      </w:r>
      <w:r w:rsidRPr="00690A0E">
        <w:t xml:space="preserve"> be provided for external pedestrian traffic within the site. Movement from bus stops to all accessible on-site locations </w:t>
      </w:r>
      <w:r>
        <w:t>will</w:t>
      </w:r>
      <w:r w:rsidRPr="00690A0E">
        <w:t xml:space="preserve"> be included. Where applicable, </w:t>
      </w:r>
      <w:r w:rsidR="00FA51EE">
        <w:t xml:space="preserve">it is recommended that </w:t>
      </w:r>
      <w:r w:rsidR="0053705F" w:rsidRPr="00690A0E">
        <w:t xml:space="preserve">council </w:t>
      </w:r>
      <w:r w:rsidRPr="00690A0E">
        <w:t>crossovers be considered when designing site roadways, as their impact on public roadways will affect the neighbourhood by impacting local traffic patterns and road design.</w:t>
      </w:r>
    </w:p>
    <w:p w14:paraId="05A3BAC9" w14:textId="134F02C3" w:rsidR="00B34136" w:rsidRPr="00690A0E" w:rsidRDefault="00B34136">
      <w:pPr>
        <w:pStyle w:val="DHHSbodynumbered"/>
      </w:pPr>
      <w:r w:rsidRPr="00690A0E">
        <w:t xml:space="preserve">All side entry pits, lintels, kerbs, channels and grated drains </w:t>
      </w:r>
      <w:r>
        <w:t>will</w:t>
      </w:r>
      <w:r w:rsidRPr="00690A0E">
        <w:t xml:space="preserve"> be constructed of reinforced concrete. </w:t>
      </w:r>
      <w:r w:rsidR="00FA51EE">
        <w:t>It is recommended that r</w:t>
      </w:r>
      <w:r w:rsidR="00FA51EE" w:rsidRPr="00690A0E">
        <w:t xml:space="preserve">oad </w:t>
      </w:r>
      <w:r w:rsidRPr="00690A0E">
        <w:t>surfaces be bitumen paved with appropriate base, sub-base and sub-grades</w:t>
      </w:r>
      <w:r w:rsidR="00FA51EE">
        <w:t xml:space="preserve"> –</w:t>
      </w:r>
      <w:r w:rsidRPr="00690A0E">
        <w:t xml:space="preserve"> all formed to provide adequate storm water drainage.</w:t>
      </w:r>
      <w:r w:rsidR="00785D6D">
        <w:t xml:space="preserve"> </w:t>
      </w:r>
      <w:r w:rsidR="00FA51EE">
        <w:t>It is recommended that a</w:t>
      </w:r>
      <w:r w:rsidR="00FA51EE" w:rsidRPr="00690A0E">
        <w:t xml:space="preserve">prons </w:t>
      </w:r>
      <w:r w:rsidRPr="00690A0E">
        <w:t>to the ambulance bay, the main entry and the loading docks be constructed of reinforced concrete on the appropriate base, sub-base and sub-grades.</w:t>
      </w:r>
    </w:p>
    <w:p w14:paraId="572504A5" w14:textId="357E703E" w:rsidR="00B34136" w:rsidRPr="00B34136" w:rsidRDefault="00B34136" w:rsidP="00B34136">
      <w:pPr>
        <w:pStyle w:val="DHHSbodynumbered"/>
      </w:pPr>
      <w:r w:rsidRPr="00690A0E">
        <w:t xml:space="preserve">Bulk oxygen vessel foundation slabs and truck loading aprons </w:t>
      </w:r>
      <w:r>
        <w:t>will</w:t>
      </w:r>
      <w:r w:rsidRPr="00690A0E">
        <w:t xml:space="preserve"> be constructed of concrete. Bitumen products </w:t>
      </w:r>
      <w:r>
        <w:t>will</w:t>
      </w:r>
      <w:r w:rsidRPr="00690A0E">
        <w:t xml:space="preserve"> not be used due to the risk of ignition if an oxygen leak occurs during filling.</w:t>
      </w:r>
    </w:p>
    <w:sectPr w:rsidR="00B34136" w:rsidRPr="00B34136" w:rsidSect="00BA5E47">
      <w:headerReference w:type="even" r:id="rId24"/>
      <w:headerReference w:type="default" r:id="rId25"/>
      <w:footerReference w:type="even" r:id="rId26"/>
      <w:footerReference w:type="default" r:id="rId27"/>
      <w:footerReference w:type="first" r:id="rId2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7E0B" w14:textId="77777777" w:rsidR="00B53CFF" w:rsidRDefault="00B53CFF">
      <w:r>
        <w:separator/>
      </w:r>
    </w:p>
  </w:endnote>
  <w:endnote w:type="continuationSeparator" w:id="0">
    <w:p w14:paraId="112C5E1E" w14:textId="77777777" w:rsidR="00B53CFF" w:rsidRDefault="00B5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80DB" w14:textId="77777777" w:rsidR="00B53CFF" w:rsidRDefault="00B5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C200" w14:textId="77777777" w:rsidR="00B53CFF" w:rsidRDefault="00B53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506D" w14:textId="77777777" w:rsidR="00B53CFF" w:rsidRDefault="00B53C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777A" w14:textId="1EF02B05" w:rsidR="00B53CFF" w:rsidRDefault="00B53CFF" w:rsidP="00956BCD">
    <w:pPr>
      <w:pStyle w:val="DHHSfooter"/>
    </w:pPr>
    <w:r>
      <w:tab/>
    </w:r>
    <w:r w:rsidRPr="00956BCD">
      <w:t>Engineering guidelines for healthcare facilities:</w:t>
    </w:r>
  </w:p>
  <w:p w14:paraId="6B26ACDB" w14:textId="1FCA7CFC" w:rsidR="00B53CFF" w:rsidRPr="008114D1" w:rsidRDefault="00B53CFF" w:rsidP="00956BCD">
    <w:pPr>
      <w:pStyle w:val="DHHSfooter"/>
    </w:pPr>
    <w:r>
      <w:t xml:space="preserve">Page </w:t>
    </w:r>
    <w:r w:rsidRPr="005A39EC">
      <w:fldChar w:fldCharType="begin"/>
    </w:r>
    <w:r w:rsidRPr="005A39EC">
      <w:instrText xml:space="preserve"> PAGE </w:instrText>
    </w:r>
    <w:r w:rsidRPr="005A39EC">
      <w:fldChar w:fldCharType="separate"/>
    </w:r>
    <w:r>
      <w:t>8</w:t>
    </w:r>
    <w:r w:rsidRPr="005A39EC">
      <w:fldChar w:fldCharType="end"/>
    </w:r>
    <w:r>
      <w:tab/>
    </w:r>
    <w:r w:rsidRPr="00956BCD">
      <w:t>Volume 6 – Specialist healthcare engineering and provisions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E367" w14:textId="3629A14B" w:rsidR="00B53CFF" w:rsidRPr="0031753A" w:rsidRDefault="00B53CFF" w:rsidP="00E969B1">
    <w:pPr>
      <w:pStyle w:val="DHHSfooter"/>
    </w:pPr>
    <w:r w:rsidRPr="00956BCD">
      <w:t xml:space="preserve">Engineering guidelines for healthcare facilities: </w:t>
    </w:r>
    <w:r>
      <w:br/>
    </w:r>
    <w:r w:rsidRPr="00956BCD">
      <w:t>Volume 6 – Specialist healthcare engineering and provisions</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706A" w14:textId="77777777" w:rsidR="00B53CFF" w:rsidRPr="001A7E04" w:rsidRDefault="00B53CFF"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AD5A" w14:textId="77777777" w:rsidR="00B53CFF" w:rsidRDefault="00B53CFF">
      <w:r>
        <w:separator/>
      </w:r>
    </w:p>
  </w:footnote>
  <w:footnote w:type="continuationSeparator" w:id="0">
    <w:p w14:paraId="36E2D646" w14:textId="77777777" w:rsidR="00B53CFF" w:rsidRDefault="00B5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8A58" w14:textId="77777777" w:rsidR="00B53CFF" w:rsidRDefault="00B5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FEAB" w14:textId="77777777" w:rsidR="00B53CFF" w:rsidRDefault="00B53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B79E" w14:textId="77777777" w:rsidR="00B53CFF" w:rsidRDefault="00B53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FEC1" w14:textId="77777777" w:rsidR="00B53CFF" w:rsidRPr="0069374A" w:rsidRDefault="00B53CFF"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22514" w14:textId="77777777" w:rsidR="00B53CFF" w:rsidRDefault="00B53CFF"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50B"/>
    <w:multiLevelType w:val="hybridMultilevel"/>
    <w:tmpl w:val="B40A76EC"/>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B36A03"/>
    <w:multiLevelType w:val="hybridMultilevel"/>
    <w:tmpl w:val="763424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026AAE"/>
    <w:multiLevelType w:val="hybridMultilevel"/>
    <w:tmpl w:val="D5AE0F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20CC58CE"/>
    <w:multiLevelType w:val="hybridMultilevel"/>
    <w:tmpl w:val="211452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6047BDE"/>
    <w:multiLevelType w:val="multilevel"/>
    <w:tmpl w:val="3E6C1340"/>
    <w:lvl w:ilvl="0">
      <w:start w:val="1"/>
      <w:numFmt w:val="decimal"/>
      <w:pStyle w:val="DHHSbodynumbered"/>
      <w:lvlText w:val="6.%1."/>
      <w:lvlJc w:val="left"/>
      <w:pPr>
        <w:ind w:left="72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D482C85"/>
    <w:multiLevelType w:val="hybridMultilevel"/>
    <w:tmpl w:val="0CF8E7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F265B1B"/>
    <w:multiLevelType w:val="hybridMultilevel"/>
    <w:tmpl w:val="7BA02FCA"/>
    <w:lvl w:ilvl="0" w:tplc="AFEC9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E50F6C"/>
    <w:multiLevelType w:val="multilevel"/>
    <w:tmpl w:val="A5A8AFF2"/>
    <w:lvl w:ilvl="0">
      <w:start w:val="1"/>
      <w:numFmt w:val="decimal"/>
      <w:lvlText w:val="6.%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453CC0"/>
    <w:multiLevelType w:val="hybridMultilevel"/>
    <w:tmpl w:val="137489DC"/>
    <w:lvl w:ilvl="0" w:tplc="2054C050">
      <w:start w:val="1"/>
      <w:numFmt w:val="decimal"/>
      <w:lvlText w:val="6.%1"/>
      <w:lvlJc w:val="righ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8BA2457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8AF736A"/>
    <w:multiLevelType w:val="hybridMultilevel"/>
    <w:tmpl w:val="B40A76EC"/>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A553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9D07E5"/>
    <w:multiLevelType w:val="hybridMultilevel"/>
    <w:tmpl w:val="0994F7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7F872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65736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D2457DD"/>
    <w:multiLevelType w:val="hybridMultilevel"/>
    <w:tmpl w:val="0CF8E7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9A1591"/>
    <w:multiLevelType w:val="multilevel"/>
    <w:tmpl w:val="9AF8BD0A"/>
    <w:lvl w:ilvl="0">
      <w:start w:val="1"/>
      <w:numFmt w:val="decimal"/>
      <w:lvlText w:val="6.%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0"/>
  </w:num>
  <w:num w:numId="18">
    <w:abstractNumId w:val="10"/>
  </w:num>
  <w:num w:numId="19">
    <w:abstractNumId w:val="8"/>
  </w:num>
  <w:num w:numId="20">
    <w:abstractNumId w:val="1"/>
  </w:num>
  <w:num w:numId="21">
    <w:abstractNumId w:val="10"/>
  </w:num>
  <w:num w:numId="22">
    <w:abstractNumId w:val="1"/>
  </w:num>
  <w:num w:numId="23">
    <w:abstractNumId w:val="11"/>
  </w:num>
  <w:num w:numId="24">
    <w:abstractNumId w:val="11"/>
  </w:num>
  <w:num w:numId="25">
    <w:abstractNumId w:val="20"/>
  </w:num>
  <w:num w:numId="26">
    <w:abstractNumId w:val="20"/>
  </w:num>
  <w:num w:numId="27">
    <w:abstractNumId w:val="15"/>
  </w:num>
  <w:num w:numId="28">
    <w:abstractNumId w:val="15"/>
  </w:num>
  <w:num w:numId="29">
    <w:abstractNumId w:val="16"/>
  </w:num>
  <w:num w:numId="30">
    <w:abstractNumId w:val="10"/>
  </w:num>
  <w:num w:numId="31">
    <w:abstractNumId w:val="1"/>
  </w:num>
  <w:num w:numId="32">
    <w:abstractNumId w:val="20"/>
  </w:num>
  <w:num w:numId="33">
    <w:abstractNumId w:val="11"/>
  </w:num>
  <w:num w:numId="34">
    <w:abstractNumId w:val="1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21"/>
  </w:num>
  <w:num w:numId="42">
    <w:abstractNumId w:val="24"/>
  </w:num>
  <w:num w:numId="43">
    <w:abstractNumId w:val="5"/>
  </w:num>
  <w:num w:numId="44">
    <w:abstractNumId w:val="14"/>
  </w:num>
  <w:num w:numId="45">
    <w:abstractNumId w:val="0"/>
  </w:num>
  <w:num w:numId="46">
    <w:abstractNumId w:val="2"/>
  </w:num>
  <w:num w:numId="47">
    <w:abstractNumId w:val="9"/>
  </w:num>
  <w:num w:numId="48">
    <w:abstractNumId w:val="19"/>
  </w:num>
  <w:num w:numId="49">
    <w:abstractNumId w:val="3"/>
  </w:num>
  <w:num w:numId="50">
    <w:abstractNumId w:val="23"/>
  </w:num>
  <w:num w:numId="51">
    <w:abstractNumId w:val="12"/>
  </w:num>
  <w:num w:numId="52">
    <w:abstractNumId w:val="17"/>
  </w:num>
  <w:num w:numId="53">
    <w:abstractNumId w:val="14"/>
    <w:lvlOverride w:ilvl="0">
      <w:startOverride w:val="1"/>
    </w:lvlOverride>
  </w:num>
  <w:num w:numId="54">
    <w:abstractNumId w:val="13"/>
  </w:num>
  <w:num w:numId="55">
    <w:abstractNumId w:val="7"/>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02"/>
    <w:rsid w:val="00002990"/>
    <w:rsid w:val="000048AC"/>
    <w:rsid w:val="00014FC4"/>
    <w:rsid w:val="00020AAB"/>
    <w:rsid w:val="000223A4"/>
    <w:rsid w:val="00022E60"/>
    <w:rsid w:val="00026C19"/>
    <w:rsid w:val="00031263"/>
    <w:rsid w:val="00041640"/>
    <w:rsid w:val="000476D1"/>
    <w:rsid w:val="00050C2F"/>
    <w:rsid w:val="0005587D"/>
    <w:rsid w:val="00055CC5"/>
    <w:rsid w:val="0005633B"/>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6787"/>
    <w:rsid w:val="00127A8B"/>
    <w:rsid w:val="00134BE5"/>
    <w:rsid w:val="001412D1"/>
    <w:rsid w:val="001423E3"/>
    <w:rsid w:val="001475EA"/>
    <w:rsid w:val="001504F5"/>
    <w:rsid w:val="001517BD"/>
    <w:rsid w:val="00163FD7"/>
    <w:rsid w:val="0017248D"/>
    <w:rsid w:val="00173626"/>
    <w:rsid w:val="0017614A"/>
    <w:rsid w:val="0018177B"/>
    <w:rsid w:val="001817CD"/>
    <w:rsid w:val="0018235E"/>
    <w:rsid w:val="00183992"/>
    <w:rsid w:val="0018768C"/>
    <w:rsid w:val="00192BA0"/>
    <w:rsid w:val="00197303"/>
    <w:rsid w:val="001A17EA"/>
    <w:rsid w:val="001A1D17"/>
    <w:rsid w:val="001A22AA"/>
    <w:rsid w:val="001A7A18"/>
    <w:rsid w:val="001B1565"/>
    <w:rsid w:val="001B166D"/>
    <w:rsid w:val="001B28B5"/>
    <w:rsid w:val="001B2975"/>
    <w:rsid w:val="001C08A9"/>
    <w:rsid w:val="001C122D"/>
    <w:rsid w:val="001C17FC"/>
    <w:rsid w:val="001C475E"/>
    <w:rsid w:val="001D2A82"/>
    <w:rsid w:val="001D569B"/>
    <w:rsid w:val="001E0EA3"/>
    <w:rsid w:val="001E4995"/>
    <w:rsid w:val="001E7A42"/>
    <w:rsid w:val="001F09DC"/>
    <w:rsid w:val="001F43E6"/>
    <w:rsid w:val="00213772"/>
    <w:rsid w:val="00215D68"/>
    <w:rsid w:val="00220749"/>
    <w:rsid w:val="0022422C"/>
    <w:rsid w:val="0022724E"/>
    <w:rsid w:val="00230666"/>
    <w:rsid w:val="00231153"/>
    <w:rsid w:val="0023252E"/>
    <w:rsid w:val="00241C31"/>
    <w:rsid w:val="00256E7C"/>
    <w:rsid w:val="002679D5"/>
    <w:rsid w:val="00267A03"/>
    <w:rsid w:val="002714FD"/>
    <w:rsid w:val="00275F94"/>
    <w:rsid w:val="00281B9C"/>
    <w:rsid w:val="00284C9B"/>
    <w:rsid w:val="00290DEC"/>
    <w:rsid w:val="00292316"/>
    <w:rsid w:val="002A141B"/>
    <w:rsid w:val="002A26B6"/>
    <w:rsid w:val="002A6A4E"/>
    <w:rsid w:val="002B5A85"/>
    <w:rsid w:val="002B63A7"/>
    <w:rsid w:val="002C5139"/>
    <w:rsid w:val="002C5543"/>
    <w:rsid w:val="002D0F7F"/>
    <w:rsid w:val="002E0198"/>
    <w:rsid w:val="002E1D7C"/>
    <w:rsid w:val="002F449B"/>
    <w:rsid w:val="002F4D86"/>
    <w:rsid w:val="002F5D69"/>
    <w:rsid w:val="002F7C77"/>
    <w:rsid w:val="00300CB3"/>
    <w:rsid w:val="0030394B"/>
    <w:rsid w:val="003072C6"/>
    <w:rsid w:val="00310D8E"/>
    <w:rsid w:val="0031217C"/>
    <w:rsid w:val="00315BBD"/>
    <w:rsid w:val="0031753A"/>
    <w:rsid w:val="00320293"/>
    <w:rsid w:val="00322CC2"/>
    <w:rsid w:val="003271DC"/>
    <w:rsid w:val="00334B54"/>
    <w:rsid w:val="0033739E"/>
    <w:rsid w:val="00343733"/>
    <w:rsid w:val="003464D0"/>
    <w:rsid w:val="00355886"/>
    <w:rsid w:val="00356814"/>
    <w:rsid w:val="003741AD"/>
    <w:rsid w:val="0038019F"/>
    <w:rsid w:val="00382071"/>
    <w:rsid w:val="003822A7"/>
    <w:rsid w:val="003A2F25"/>
    <w:rsid w:val="003B2807"/>
    <w:rsid w:val="003C68F2"/>
    <w:rsid w:val="003D58B8"/>
    <w:rsid w:val="003D5CFB"/>
    <w:rsid w:val="003E2636"/>
    <w:rsid w:val="003E2E12"/>
    <w:rsid w:val="003E72A2"/>
    <w:rsid w:val="003F39CE"/>
    <w:rsid w:val="00401108"/>
    <w:rsid w:val="00402927"/>
    <w:rsid w:val="00407993"/>
    <w:rsid w:val="00410AFD"/>
    <w:rsid w:val="00411833"/>
    <w:rsid w:val="00412F64"/>
    <w:rsid w:val="00417BEB"/>
    <w:rsid w:val="00417CC6"/>
    <w:rsid w:val="004324FF"/>
    <w:rsid w:val="00432A55"/>
    <w:rsid w:val="004372B7"/>
    <w:rsid w:val="0044260A"/>
    <w:rsid w:val="00444D82"/>
    <w:rsid w:val="00453DD2"/>
    <w:rsid w:val="00453EBB"/>
    <w:rsid w:val="004564C6"/>
    <w:rsid w:val="00456DF4"/>
    <w:rsid w:val="004606F5"/>
    <w:rsid w:val="004610CC"/>
    <w:rsid w:val="00465464"/>
    <w:rsid w:val="004657F7"/>
    <w:rsid w:val="00465E87"/>
    <w:rsid w:val="0047786A"/>
    <w:rsid w:val="00477A65"/>
    <w:rsid w:val="00480178"/>
    <w:rsid w:val="00482DB3"/>
    <w:rsid w:val="00497C6B"/>
    <w:rsid w:val="004A0236"/>
    <w:rsid w:val="004A10D7"/>
    <w:rsid w:val="004A369A"/>
    <w:rsid w:val="004A3B3E"/>
    <w:rsid w:val="004C14C6"/>
    <w:rsid w:val="004C1B54"/>
    <w:rsid w:val="004C278E"/>
    <w:rsid w:val="004C54AF"/>
    <w:rsid w:val="004C5777"/>
    <w:rsid w:val="004C6EAC"/>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2B3"/>
    <w:rsid w:val="00501375"/>
    <w:rsid w:val="00501D3B"/>
    <w:rsid w:val="005020BE"/>
    <w:rsid w:val="005022C9"/>
    <w:rsid w:val="00502B8F"/>
    <w:rsid w:val="0050779D"/>
    <w:rsid w:val="005139EA"/>
    <w:rsid w:val="00520BBB"/>
    <w:rsid w:val="00524310"/>
    <w:rsid w:val="00525456"/>
    <w:rsid w:val="00532236"/>
    <w:rsid w:val="005338EA"/>
    <w:rsid w:val="0053705F"/>
    <w:rsid w:val="00541DFE"/>
    <w:rsid w:val="00543E6C"/>
    <w:rsid w:val="00544184"/>
    <w:rsid w:val="00545FFA"/>
    <w:rsid w:val="00551789"/>
    <w:rsid w:val="00553F68"/>
    <w:rsid w:val="005552FD"/>
    <w:rsid w:val="005600E5"/>
    <w:rsid w:val="00564E8F"/>
    <w:rsid w:val="005728A4"/>
    <w:rsid w:val="005763FC"/>
    <w:rsid w:val="00576EB4"/>
    <w:rsid w:val="00577B30"/>
    <w:rsid w:val="00582768"/>
    <w:rsid w:val="00583461"/>
    <w:rsid w:val="005856A4"/>
    <w:rsid w:val="00590730"/>
    <w:rsid w:val="005A3051"/>
    <w:rsid w:val="005A53FE"/>
    <w:rsid w:val="005A5491"/>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53B84"/>
    <w:rsid w:val="00653E0D"/>
    <w:rsid w:val="006865C8"/>
    <w:rsid w:val="00686B48"/>
    <w:rsid w:val="00687038"/>
    <w:rsid w:val="0068714E"/>
    <w:rsid w:val="006872F5"/>
    <w:rsid w:val="006929F7"/>
    <w:rsid w:val="0069374A"/>
    <w:rsid w:val="00694AB8"/>
    <w:rsid w:val="006950BC"/>
    <w:rsid w:val="00695EF7"/>
    <w:rsid w:val="0069699D"/>
    <w:rsid w:val="006B2C51"/>
    <w:rsid w:val="006B6361"/>
    <w:rsid w:val="006D24CE"/>
    <w:rsid w:val="006D360C"/>
    <w:rsid w:val="006D5AC9"/>
    <w:rsid w:val="006D66ED"/>
    <w:rsid w:val="006E786B"/>
    <w:rsid w:val="006F0984"/>
    <w:rsid w:val="006F3E0E"/>
    <w:rsid w:val="007002B1"/>
    <w:rsid w:val="00704EB7"/>
    <w:rsid w:val="00705742"/>
    <w:rsid w:val="007104FE"/>
    <w:rsid w:val="00711B0C"/>
    <w:rsid w:val="007121A2"/>
    <w:rsid w:val="00713981"/>
    <w:rsid w:val="007176D6"/>
    <w:rsid w:val="007250F2"/>
    <w:rsid w:val="0072602D"/>
    <w:rsid w:val="00727D54"/>
    <w:rsid w:val="00731EF2"/>
    <w:rsid w:val="007344C5"/>
    <w:rsid w:val="00734959"/>
    <w:rsid w:val="00735137"/>
    <w:rsid w:val="0073520D"/>
    <w:rsid w:val="00780226"/>
    <w:rsid w:val="00781AB4"/>
    <w:rsid w:val="00785D6D"/>
    <w:rsid w:val="007874C8"/>
    <w:rsid w:val="007923B7"/>
    <w:rsid w:val="00792616"/>
    <w:rsid w:val="007926BB"/>
    <w:rsid w:val="0079344C"/>
    <w:rsid w:val="007968AE"/>
    <w:rsid w:val="007A0283"/>
    <w:rsid w:val="007B2B68"/>
    <w:rsid w:val="007C02C7"/>
    <w:rsid w:val="007C082A"/>
    <w:rsid w:val="007C161D"/>
    <w:rsid w:val="007C21EE"/>
    <w:rsid w:val="007D3A2E"/>
    <w:rsid w:val="007D6652"/>
    <w:rsid w:val="007E245D"/>
    <w:rsid w:val="007E343D"/>
    <w:rsid w:val="007F4383"/>
    <w:rsid w:val="007F5858"/>
    <w:rsid w:val="007F6862"/>
    <w:rsid w:val="00801601"/>
    <w:rsid w:val="0080169A"/>
    <w:rsid w:val="008036A7"/>
    <w:rsid w:val="00810991"/>
    <w:rsid w:val="00814A9B"/>
    <w:rsid w:val="00814F66"/>
    <w:rsid w:val="00817C9E"/>
    <w:rsid w:val="008205AF"/>
    <w:rsid w:val="008225E5"/>
    <w:rsid w:val="00824D4C"/>
    <w:rsid w:val="0082523D"/>
    <w:rsid w:val="00831053"/>
    <w:rsid w:val="008314D2"/>
    <w:rsid w:val="0083254D"/>
    <w:rsid w:val="00836249"/>
    <w:rsid w:val="00836F00"/>
    <w:rsid w:val="008445D1"/>
    <w:rsid w:val="00846192"/>
    <w:rsid w:val="00850806"/>
    <w:rsid w:val="008516B0"/>
    <w:rsid w:val="00856A1B"/>
    <w:rsid w:val="008621C3"/>
    <w:rsid w:val="00865486"/>
    <w:rsid w:val="008669BE"/>
    <w:rsid w:val="00871F0C"/>
    <w:rsid w:val="00873EE8"/>
    <w:rsid w:val="00876275"/>
    <w:rsid w:val="00882B99"/>
    <w:rsid w:val="00886121"/>
    <w:rsid w:val="008A295B"/>
    <w:rsid w:val="008A5B97"/>
    <w:rsid w:val="008A6604"/>
    <w:rsid w:val="008B1C73"/>
    <w:rsid w:val="008B5482"/>
    <w:rsid w:val="008C11F4"/>
    <w:rsid w:val="008C2BEC"/>
    <w:rsid w:val="008C6523"/>
    <w:rsid w:val="008C6D0E"/>
    <w:rsid w:val="008C7B06"/>
    <w:rsid w:val="008D09D2"/>
    <w:rsid w:val="008D39C5"/>
    <w:rsid w:val="008E1D89"/>
    <w:rsid w:val="008E3E3E"/>
    <w:rsid w:val="008F5F87"/>
    <w:rsid w:val="00900A34"/>
    <w:rsid w:val="009041D3"/>
    <w:rsid w:val="00906132"/>
    <w:rsid w:val="00906BC3"/>
    <w:rsid w:val="00907073"/>
    <w:rsid w:val="00913D72"/>
    <w:rsid w:val="009208F5"/>
    <w:rsid w:val="00927D51"/>
    <w:rsid w:val="00932272"/>
    <w:rsid w:val="00932862"/>
    <w:rsid w:val="00935D60"/>
    <w:rsid w:val="009447BB"/>
    <w:rsid w:val="00944C48"/>
    <w:rsid w:val="00946335"/>
    <w:rsid w:val="009513C4"/>
    <w:rsid w:val="00955E55"/>
    <w:rsid w:val="00956BCD"/>
    <w:rsid w:val="00962200"/>
    <w:rsid w:val="00966F54"/>
    <w:rsid w:val="00975E61"/>
    <w:rsid w:val="00976E31"/>
    <w:rsid w:val="00977C63"/>
    <w:rsid w:val="00980087"/>
    <w:rsid w:val="00980C0B"/>
    <w:rsid w:val="0098524F"/>
    <w:rsid w:val="00987ABE"/>
    <w:rsid w:val="009906C7"/>
    <w:rsid w:val="00994035"/>
    <w:rsid w:val="009963CD"/>
    <w:rsid w:val="009B266D"/>
    <w:rsid w:val="009B5CBF"/>
    <w:rsid w:val="009C184A"/>
    <w:rsid w:val="009C25FE"/>
    <w:rsid w:val="009C2CA5"/>
    <w:rsid w:val="009D3E45"/>
    <w:rsid w:val="009D75D0"/>
    <w:rsid w:val="009F351F"/>
    <w:rsid w:val="009F3F89"/>
    <w:rsid w:val="009F480E"/>
    <w:rsid w:val="00A022A2"/>
    <w:rsid w:val="00A02D15"/>
    <w:rsid w:val="00A11403"/>
    <w:rsid w:val="00A26B0D"/>
    <w:rsid w:val="00A3735A"/>
    <w:rsid w:val="00A42F1B"/>
    <w:rsid w:val="00A44EBE"/>
    <w:rsid w:val="00A526AB"/>
    <w:rsid w:val="00A546BC"/>
    <w:rsid w:val="00A55989"/>
    <w:rsid w:val="00A5694A"/>
    <w:rsid w:val="00A63DA4"/>
    <w:rsid w:val="00A72102"/>
    <w:rsid w:val="00A74743"/>
    <w:rsid w:val="00A75CD5"/>
    <w:rsid w:val="00A763D5"/>
    <w:rsid w:val="00A83DF3"/>
    <w:rsid w:val="00A85915"/>
    <w:rsid w:val="00A86270"/>
    <w:rsid w:val="00A952AB"/>
    <w:rsid w:val="00A9783D"/>
    <w:rsid w:val="00AA45E6"/>
    <w:rsid w:val="00AA5A37"/>
    <w:rsid w:val="00AB489C"/>
    <w:rsid w:val="00AB50C1"/>
    <w:rsid w:val="00AB6936"/>
    <w:rsid w:val="00AC02A1"/>
    <w:rsid w:val="00AC0C3B"/>
    <w:rsid w:val="00AC2D63"/>
    <w:rsid w:val="00AD03D8"/>
    <w:rsid w:val="00AD0711"/>
    <w:rsid w:val="00AD704E"/>
    <w:rsid w:val="00AE5FE0"/>
    <w:rsid w:val="00AE60B7"/>
    <w:rsid w:val="00AF2AB7"/>
    <w:rsid w:val="00AF2B1C"/>
    <w:rsid w:val="00AF4D3F"/>
    <w:rsid w:val="00B0300B"/>
    <w:rsid w:val="00B03203"/>
    <w:rsid w:val="00B052CD"/>
    <w:rsid w:val="00B05457"/>
    <w:rsid w:val="00B057F5"/>
    <w:rsid w:val="00B128A0"/>
    <w:rsid w:val="00B20240"/>
    <w:rsid w:val="00B20624"/>
    <w:rsid w:val="00B23281"/>
    <w:rsid w:val="00B2614A"/>
    <w:rsid w:val="00B27571"/>
    <w:rsid w:val="00B33C41"/>
    <w:rsid w:val="00B34136"/>
    <w:rsid w:val="00B356F0"/>
    <w:rsid w:val="00B4164B"/>
    <w:rsid w:val="00B53CFF"/>
    <w:rsid w:val="00B5409A"/>
    <w:rsid w:val="00B55574"/>
    <w:rsid w:val="00B6525D"/>
    <w:rsid w:val="00B65ABA"/>
    <w:rsid w:val="00B65E72"/>
    <w:rsid w:val="00B67097"/>
    <w:rsid w:val="00B6790F"/>
    <w:rsid w:val="00B71B3B"/>
    <w:rsid w:val="00B76E06"/>
    <w:rsid w:val="00B773A1"/>
    <w:rsid w:val="00B84D7A"/>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25CF"/>
    <w:rsid w:val="00C05787"/>
    <w:rsid w:val="00C11871"/>
    <w:rsid w:val="00C11A33"/>
    <w:rsid w:val="00C13059"/>
    <w:rsid w:val="00C156D4"/>
    <w:rsid w:val="00C167A3"/>
    <w:rsid w:val="00C2181C"/>
    <w:rsid w:val="00C25B1D"/>
    <w:rsid w:val="00C2657D"/>
    <w:rsid w:val="00C26A87"/>
    <w:rsid w:val="00C3745D"/>
    <w:rsid w:val="00C416E1"/>
    <w:rsid w:val="00C47BF8"/>
    <w:rsid w:val="00C51B1C"/>
    <w:rsid w:val="00C53DCE"/>
    <w:rsid w:val="00C6469B"/>
    <w:rsid w:val="00C655F2"/>
    <w:rsid w:val="00C65B4C"/>
    <w:rsid w:val="00C65B61"/>
    <w:rsid w:val="00C70987"/>
    <w:rsid w:val="00C70E53"/>
    <w:rsid w:val="00C72979"/>
    <w:rsid w:val="00C81529"/>
    <w:rsid w:val="00C81BA6"/>
    <w:rsid w:val="00C8377C"/>
    <w:rsid w:val="00C877CD"/>
    <w:rsid w:val="00C902E9"/>
    <w:rsid w:val="00C908B7"/>
    <w:rsid w:val="00C91D81"/>
    <w:rsid w:val="00C92A42"/>
    <w:rsid w:val="00C9300C"/>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13D48"/>
    <w:rsid w:val="00D311AB"/>
    <w:rsid w:val="00D32290"/>
    <w:rsid w:val="00D325A8"/>
    <w:rsid w:val="00D442AD"/>
    <w:rsid w:val="00D5618A"/>
    <w:rsid w:val="00D5784B"/>
    <w:rsid w:val="00D63EFB"/>
    <w:rsid w:val="00D658AF"/>
    <w:rsid w:val="00D70A79"/>
    <w:rsid w:val="00D83DE9"/>
    <w:rsid w:val="00D8450D"/>
    <w:rsid w:val="00D84C4D"/>
    <w:rsid w:val="00D95AF9"/>
    <w:rsid w:val="00DA09C9"/>
    <w:rsid w:val="00DA1822"/>
    <w:rsid w:val="00DB5E1F"/>
    <w:rsid w:val="00DC19D8"/>
    <w:rsid w:val="00DC2613"/>
    <w:rsid w:val="00DC4512"/>
    <w:rsid w:val="00DD3691"/>
    <w:rsid w:val="00DD4B55"/>
    <w:rsid w:val="00DE1E90"/>
    <w:rsid w:val="00DE24E6"/>
    <w:rsid w:val="00DE5C8A"/>
    <w:rsid w:val="00DF07AD"/>
    <w:rsid w:val="00DF3364"/>
    <w:rsid w:val="00E055BB"/>
    <w:rsid w:val="00E11988"/>
    <w:rsid w:val="00E15DA9"/>
    <w:rsid w:val="00E2095D"/>
    <w:rsid w:val="00E30414"/>
    <w:rsid w:val="00E34CC8"/>
    <w:rsid w:val="00E35F14"/>
    <w:rsid w:val="00E40769"/>
    <w:rsid w:val="00E42E8B"/>
    <w:rsid w:val="00E60F12"/>
    <w:rsid w:val="00E652FB"/>
    <w:rsid w:val="00E66C20"/>
    <w:rsid w:val="00E71C46"/>
    <w:rsid w:val="00E731B7"/>
    <w:rsid w:val="00E75ED2"/>
    <w:rsid w:val="00E8280C"/>
    <w:rsid w:val="00E83E4C"/>
    <w:rsid w:val="00E91933"/>
    <w:rsid w:val="00E92A81"/>
    <w:rsid w:val="00E969B1"/>
    <w:rsid w:val="00EB6552"/>
    <w:rsid w:val="00EC18E6"/>
    <w:rsid w:val="00EC1984"/>
    <w:rsid w:val="00EC234C"/>
    <w:rsid w:val="00ED3529"/>
    <w:rsid w:val="00ED4D17"/>
    <w:rsid w:val="00EE28AB"/>
    <w:rsid w:val="00EE6CD3"/>
    <w:rsid w:val="00EF20D7"/>
    <w:rsid w:val="00EF3419"/>
    <w:rsid w:val="00EF4660"/>
    <w:rsid w:val="00EF7FEF"/>
    <w:rsid w:val="00F0119C"/>
    <w:rsid w:val="00F02BDB"/>
    <w:rsid w:val="00F0441B"/>
    <w:rsid w:val="00F07623"/>
    <w:rsid w:val="00F07D0B"/>
    <w:rsid w:val="00F2073E"/>
    <w:rsid w:val="00F3136B"/>
    <w:rsid w:val="00F314F1"/>
    <w:rsid w:val="00F327EA"/>
    <w:rsid w:val="00F332AC"/>
    <w:rsid w:val="00F33641"/>
    <w:rsid w:val="00F36995"/>
    <w:rsid w:val="00F42842"/>
    <w:rsid w:val="00F43EE0"/>
    <w:rsid w:val="00F46E40"/>
    <w:rsid w:val="00F4760A"/>
    <w:rsid w:val="00F529FE"/>
    <w:rsid w:val="00F52B13"/>
    <w:rsid w:val="00F52B8E"/>
    <w:rsid w:val="00F53CFD"/>
    <w:rsid w:val="00F54AF5"/>
    <w:rsid w:val="00F557E3"/>
    <w:rsid w:val="00F61E78"/>
    <w:rsid w:val="00F635C5"/>
    <w:rsid w:val="00F736E3"/>
    <w:rsid w:val="00F767E8"/>
    <w:rsid w:val="00F86A3F"/>
    <w:rsid w:val="00F91297"/>
    <w:rsid w:val="00F9133B"/>
    <w:rsid w:val="00F97730"/>
    <w:rsid w:val="00FA51EE"/>
    <w:rsid w:val="00FB32A4"/>
    <w:rsid w:val="00FB385B"/>
    <w:rsid w:val="00FB3969"/>
    <w:rsid w:val="00FB594D"/>
    <w:rsid w:val="00FC3017"/>
    <w:rsid w:val="00FC49BB"/>
    <w:rsid w:val="00FD616B"/>
    <w:rsid w:val="00FD78B0"/>
    <w:rsid w:val="00FE18D4"/>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DC00042"/>
  <w15:docId w15:val="{25667240-5030-4C22-BC9D-10036C84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9"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1"/>
    <w:qFormat/>
    <w:rsid w:val="00A72102"/>
    <w:pPr>
      <w:keepNext/>
      <w:keepLines/>
      <w:spacing w:after="440" w:line="440" w:lineRule="atLeast"/>
      <w:outlineLvl w:val="0"/>
    </w:pPr>
    <w:rPr>
      <w:rFonts w:ascii="Arial" w:hAnsi="Arial"/>
      <w:bCs/>
      <w:color w:val="0074BC" w:themeColor="text2"/>
      <w:sz w:val="44"/>
      <w:szCs w:val="44"/>
      <w:lang w:eastAsia="en-US"/>
    </w:rPr>
  </w:style>
  <w:style w:type="paragraph" w:styleId="Heading2">
    <w:name w:val="heading 2"/>
    <w:next w:val="DHHSbody"/>
    <w:link w:val="Heading2Char"/>
    <w:uiPriority w:val="9"/>
    <w:qFormat/>
    <w:rsid w:val="00A72102"/>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A72102"/>
    <w:pPr>
      <w:keepNext/>
      <w:keepLines/>
      <w:spacing w:before="280" w:after="120" w:line="280" w:lineRule="atLeast"/>
      <w:ind w:left="431" w:hanging="431"/>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A72102"/>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A7210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72102"/>
    <w:rPr>
      <w:rFonts w:ascii="Arial" w:hAnsi="Arial"/>
      <w:bCs/>
      <w:color w:val="0074BC" w:themeColor="text2"/>
      <w:sz w:val="44"/>
      <w:szCs w:val="44"/>
      <w:lang w:eastAsia="en-US"/>
    </w:rPr>
  </w:style>
  <w:style w:type="character" w:customStyle="1" w:styleId="Heading2Char">
    <w:name w:val="Heading 2 Char"/>
    <w:link w:val="Heading2"/>
    <w:uiPriority w:val="9"/>
    <w:rsid w:val="00A72102"/>
    <w:rPr>
      <w:rFonts w:ascii="Arial" w:hAnsi="Arial"/>
      <w:b/>
      <w:color w:val="0074BC" w:themeColor="text2"/>
      <w:sz w:val="28"/>
      <w:szCs w:val="28"/>
      <w:lang w:eastAsia="en-US"/>
    </w:rPr>
  </w:style>
  <w:style w:type="character" w:customStyle="1" w:styleId="Heading3Char">
    <w:name w:val="Heading 3 Char"/>
    <w:link w:val="Heading3"/>
    <w:uiPriority w:val="1"/>
    <w:rsid w:val="00A72102"/>
    <w:rPr>
      <w:rFonts w:ascii="Arial" w:eastAsia="MS Gothic" w:hAnsi="Arial"/>
      <w:b/>
      <w:bCs/>
      <w:sz w:val="24"/>
      <w:szCs w:val="26"/>
      <w:lang w:eastAsia="en-US"/>
    </w:rPr>
  </w:style>
  <w:style w:type="character" w:customStyle="1" w:styleId="Heading4Char">
    <w:name w:val="Heading 4 Char"/>
    <w:link w:val="Heading4"/>
    <w:uiPriority w:val="9"/>
    <w:rsid w:val="00A72102"/>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rsid w:val="0072602D"/>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text2"/>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0074BC" w:themeColor="text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uiPriority w:val="9"/>
    <w:rsid w:val="00A72102"/>
    <w:rPr>
      <w:rFonts w:ascii="Arial" w:eastAsia="MS Mincho" w:hAnsi="Arial"/>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9"/>
      </w:numPr>
    </w:pPr>
  </w:style>
  <w:style w:type="paragraph" w:customStyle="1" w:styleId="DHHStablecolhead">
    <w:name w:val="DHHS table col head"/>
    <w:uiPriority w:val="3"/>
    <w:qFormat/>
    <w:rsid w:val="0082523D"/>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A72102"/>
    <w:pPr>
      <w:outlineLvl w:val="9"/>
    </w:pPr>
  </w:style>
  <w:style w:type="character" w:customStyle="1" w:styleId="DHHSTOCheadingreportChar">
    <w:name w:val="DHHS TOC heading report Char"/>
    <w:link w:val="DHHSTOCheadingreport"/>
    <w:uiPriority w:val="5"/>
    <w:rsid w:val="00A72102"/>
    <w:rPr>
      <w:rFonts w:ascii="Arial" w:hAnsi="Arial"/>
      <w:bCs/>
      <w:color w:val="0074BC"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30"/>
      </w:numPr>
    </w:pPr>
  </w:style>
  <w:style w:type="paragraph" w:customStyle="1" w:styleId="DHHSbulletafternumbers2">
    <w:name w:val="DHHS bullet after numbers 2"/>
    <w:basedOn w:val="DHHSbody"/>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customStyle="1" w:styleId="DHHSbodynumbered">
    <w:name w:val="DHHS body numbered"/>
    <w:basedOn w:val="DHHSbody"/>
    <w:qFormat/>
    <w:rsid w:val="006950BC"/>
    <w:pPr>
      <w:numPr>
        <w:numId w:val="55"/>
      </w:numPr>
    </w:pPr>
  </w:style>
  <w:style w:type="paragraph" w:customStyle="1" w:styleId="DHHSbodynumberedafterbullets">
    <w:name w:val="DHHS body numbered after bullets"/>
    <w:basedOn w:val="DHHSbodynumbered"/>
    <w:rsid w:val="00C70987"/>
    <w:pPr>
      <w:spacing w:before="120"/>
    </w:pPr>
  </w:style>
  <w:style w:type="character" w:customStyle="1" w:styleId="Heading6Char">
    <w:name w:val="Heading 6 Char"/>
    <w:basedOn w:val="DefaultParagraphFont"/>
    <w:uiPriority w:val="9"/>
    <w:semiHidden/>
    <w:rsid w:val="00824D4C"/>
    <w:rPr>
      <w:rFonts w:asciiTheme="majorHAnsi" w:eastAsiaTheme="majorEastAsia" w:hAnsiTheme="majorHAnsi" w:cstheme="majorBidi"/>
      <w:color w:val="00395D" w:themeColor="accent1" w:themeShade="7F"/>
      <w:lang w:eastAsia="en-US"/>
    </w:rPr>
  </w:style>
  <w:style w:type="character" w:customStyle="1" w:styleId="Heading7Char">
    <w:name w:val="Heading 7 Char"/>
    <w:basedOn w:val="DefaultParagraphFont"/>
    <w:uiPriority w:val="9"/>
    <w:semiHidden/>
    <w:rsid w:val="00824D4C"/>
    <w:rPr>
      <w:rFonts w:asciiTheme="majorHAnsi" w:eastAsiaTheme="majorEastAsia" w:hAnsiTheme="majorHAnsi" w:cstheme="majorBidi"/>
      <w:i/>
      <w:iCs/>
      <w:color w:val="00395D" w:themeColor="accent1" w:themeShade="7F"/>
      <w:lang w:eastAsia="en-US"/>
    </w:rPr>
  </w:style>
  <w:style w:type="character" w:customStyle="1" w:styleId="Heading8Char">
    <w:name w:val="Heading 8 Char"/>
    <w:basedOn w:val="DefaultParagraphFont"/>
    <w:uiPriority w:val="9"/>
    <w:semiHidden/>
    <w:rsid w:val="00824D4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uiPriority w:val="9"/>
    <w:semiHidden/>
    <w:rsid w:val="00824D4C"/>
    <w:rPr>
      <w:rFonts w:asciiTheme="majorHAnsi" w:eastAsiaTheme="majorEastAsia" w:hAnsiTheme="majorHAnsi" w:cstheme="majorBidi"/>
      <w:i/>
      <w:iCs/>
      <w:color w:val="272727" w:themeColor="text1" w:themeTint="D8"/>
      <w:sz w:val="21"/>
      <w:szCs w:val="21"/>
      <w:lang w:eastAsia="en-US"/>
    </w:rPr>
  </w:style>
  <w:style w:type="paragraph" w:customStyle="1" w:styleId="DHHSbodynumberedaftertablefigure">
    <w:name w:val="DHHS body numbered after table/figure"/>
    <w:basedOn w:val="DHHSbodynumbered"/>
    <w:rsid w:val="00A72102"/>
    <w:pPr>
      <w:spacing w:before="240"/>
    </w:pPr>
  </w:style>
  <w:style w:type="paragraph" w:customStyle="1" w:styleId="DHHSbullet1indent">
    <w:name w:val="DHHS bullet 1 indent"/>
    <w:basedOn w:val="DHHSbullet1"/>
    <w:qFormat/>
    <w:rsid w:val="00A72102"/>
    <w:pPr>
      <w:ind w:left="1004"/>
    </w:pPr>
  </w:style>
  <w:style w:type="paragraph" w:styleId="BalloonText">
    <w:name w:val="Balloon Text"/>
    <w:basedOn w:val="Normal"/>
    <w:link w:val="BalloonTextChar"/>
    <w:uiPriority w:val="99"/>
    <w:semiHidden/>
    <w:unhideWhenUsed/>
    <w:rsid w:val="00456DF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56DF4"/>
    <w:rPr>
      <w:sz w:val="18"/>
      <w:szCs w:val="18"/>
      <w:lang w:eastAsia="en-US"/>
    </w:rPr>
  </w:style>
  <w:style w:type="table" w:customStyle="1" w:styleId="TableGrid1">
    <w:name w:val="Table Grid1"/>
    <w:basedOn w:val="TableNormal"/>
    <w:next w:val="TableGrid"/>
    <w:uiPriority w:val="59"/>
    <w:rsid w:val="00B34136"/>
    <w:rPr>
      <w:rFonts w:ascii="Roboto" w:eastAsia="Calibri" w:hAnsi="Robo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34136"/>
    <w:rPr>
      <w:rFonts w:ascii="Roboto" w:eastAsia="Calibri" w:hAnsi="Robo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hrTableB1">
    <w:name w:val="Lehr Table B1"/>
    <w:basedOn w:val="TableNormal"/>
    <w:uiPriority w:val="99"/>
    <w:rsid w:val="00B34136"/>
    <w:rPr>
      <w:rFonts w:ascii="Roboto" w:eastAsia="Calibri" w:hAnsi="Roboto"/>
      <w:sz w:val="22"/>
      <w:szCs w:val="22"/>
      <w:lang w:eastAsia="en-US"/>
    </w:rPr>
    <w:tblPr>
      <w:tblStyleRowBandSize w:val="1"/>
    </w:tblPr>
    <w:tblStylePr w:type="firstRow">
      <w:rPr>
        <w:rFonts w:ascii="Roboto" w:hAnsi="Roboto"/>
        <w:b/>
        <w:color w:val="FFFFFF"/>
        <w:sz w:val="22"/>
      </w:rPr>
      <w:tblPr/>
      <w:tcPr>
        <w:shd w:val="clear" w:color="auto" w:fill="007A48"/>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styleId="Caption">
    <w:name w:val="caption"/>
    <w:basedOn w:val="Normal"/>
    <w:next w:val="Normal"/>
    <w:uiPriority w:val="35"/>
    <w:unhideWhenUsed/>
    <w:qFormat/>
    <w:rsid w:val="004C6EAC"/>
    <w:pPr>
      <w:spacing w:after="200"/>
    </w:pPr>
    <w:rPr>
      <w:i/>
      <w:iCs/>
      <w:color w:val="0074BC" w:themeColor="text2"/>
      <w:sz w:val="18"/>
      <w:szCs w:val="18"/>
    </w:rPr>
  </w:style>
  <w:style w:type="character" w:styleId="UnresolvedMention">
    <w:name w:val="Unresolved Mention"/>
    <w:basedOn w:val="DefaultParagraphFont"/>
    <w:uiPriority w:val="99"/>
    <w:semiHidden/>
    <w:unhideWhenUsed/>
    <w:rsid w:val="00785D6D"/>
    <w:rPr>
      <w:color w:val="605E5C"/>
      <w:shd w:val="clear" w:color="auto" w:fill="E1DFDD"/>
    </w:rPr>
  </w:style>
  <w:style w:type="character" w:styleId="CommentReference">
    <w:name w:val="annotation reference"/>
    <w:basedOn w:val="DefaultParagraphFont"/>
    <w:uiPriority w:val="99"/>
    <w:semiHidden/>
    <w:unhideWhenUsed/>
    <w:rsid w:val="00480178"/>
    <w:rPr>
      <w:sz w:val="16"/>
      <w:szCs w:val="16"/>
    </w:rPr>
  </w:style>
  <w:style w:type="paragraph" w:styleId="CommentText">
    <w:name w:val="annotation text"/>
    <w:basedOn w:val="Normal"/>
    <w:link w:val="CommentTextChar"/>
    <w:uiPriority w:val="99"/>
    <w:semiHidden/>
    <w:unhideWhenUsed/>
    <w:rsid w:val="00480178"/>
  </w:style>
  <w:style w:type="character" w:customStyle="1" w:styleId="CommentTextChar">
    <w:name w:val="Comment Text Char"/>
    <w:basedOn w:val="DefaultParagraphFont"/>
    <w:link w:val="CommentText"/>
    <w:uiPriority w:val="99"/>
    <w:semiHidden/>
    <w:rsid w:val="0048017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80178"/>
    <w:rPr>
      <w:b/>
      <w:bCs/>
    </w:rPr>
  </w:style>
  <w:style w:type="character" w:customStyle="1" w:styleId="CommentSubjectChar">
    <w:name w:val="Comment Subject Char"/>
    <w:basedOn w:val="CommentTextChar"/>
    <w:link w:val="CommentSubject"/>
    <w:uiPriority w:val="99"/>
    <w:semiHidden/>
    <w:rsid w:val="00480178"/>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824">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ssetmanagement@dhhs.vic.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apital.health.vic.gov.au/Asset_property_management_and_operations/Helicopter_landing_site_guidelines_2015"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vhhsb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ntryk\Documents\Happy%20Words\HHSVBA%20Engineering%20and%20sustainability%20guidelines\Engineering%20guidelines\Working%20files\VHHSBA_Report.dotx" TargetMode="External"/></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2" ma:contentTypeDescription="Create a new document." ma:contentTypeScope="" ma:versionID="7f047ad3d7b4b585a92887bff943fa3e">
  <xsd:schema xmlns:xsd="http://www.w3.org/2001/XMLSchema" xmlns:xs="http://www.w3.org/2001/XMLSchema" xmlns:p="http://schemas.microsoft.com/office/2006/metadata/properties" xmlns:ns2="eac61555-571f-4634-8a87-e48820a8521a" xmlns:ns3="d3997371-33ce-486e-a268-17233fd2e88d" targetNamespace="http://schemas.microsoft.com/office/2006/metadata/properties" ma:root="true" ma:fieldsID="d67dc622ddef566e9b4f2440432e3ca9" ns2:_="" ns3:_="">
    <xsd:import namespace="eac61555-571f-4634-8a87-e48820a8521a"/>
    <xsd:import namespace="d3997371-33ce-486e-a268-17233fd2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371B-AFC1-4CBB-A646-E57DEC0F32D7}">
  <ds:schemaRefs>
    <ds:schemaRef ds:uri="http://schemas.microsoft.com/sharepoint/v3/contenttype/forms"/>
  </ds:schemaRefs>
</ds:datastoreItem>
</file>

<file path=customXml/itemProps2.xml><?xml version="1.0" encoding="utf-8"?>
<ds:datastoreItem xmlns:ds="http://schemas.openxmlformats.org/officeDocument/2006/customXml" ds:itemID="{1708EA1D-ADEA-4EC7-9BD5-A6CFA27762F4}"/>
</file>

<file path=customXml/itemProps3.xml><?xml version="1.0" encoding="utf-8"?>
<ds:datastoreItem xmlns:ds="http://schemas.openxmlformats.org/officeDocument/2006/customXml" ds:itemID="{7D9EE0F0-E07F-4C35-ADD5-7F710C136BC6}">
  <ds:schemaRefs>
    <ds:schemaRef ds:uri="http://purl.org/dc/elements/1.1/"/>
    <ds:schemaRef ds:uri="44283bbd-cbd3-4545-9aa6-8cdecb1b4eb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2b2a996-90f2-4093-9cfd-0e684e15c3c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B25C2C3-A7E6-4B5E-B1E9-643B60B0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VHHSBA_Report.dotx</Template>
  <TotalTime>67</TotalTime>
  <Pages>32</Pages>
  <Words>7988</Words>
  <Characters>47375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Engineering guidelines for healthcare facilities: Volume 6 – Specialist healthcare engineering and provisions</vt:lpstr>
    </vt:vector>
  </TitlesOfParts>
  <Company>Victorian Health and Human Services Building Authority</Company>
  <LinksUpToDate>false</LinksUpToDate>
  <CharactersWithSpaces>55253</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guidelines for healthcare facilities: Volume 6 – Specialist healthcare engineering and provisions</dc:title>
  <dc:subject>guidelines</dc:subject>
  <dc:creator>Environmental Sustainability</dc:creator>
  <cp:keywords>guidelines; engineering; healthcare; hospitals</cp:keywords>
  <cp:lastModifiedBy>Rachel Devine (DHHS)</cp:lastModifiedBy>
  <cp:revision>5</cp:revision>
  <cp:lastPrinted>2017-07-07T00:32:00Z</cp:lastPrinted>
  <dcterms:created xsi:type="dcterms:W3CDTF">2020-06-09T08:59:00Z</dcterms:created>
  <dcterms:modified xsi:type="dcterms:W3CDTF">2020-06-09T10:14:00Z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ies>
</file>