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2891"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7B4E58FE" wp14:editId="07B8F7BC">
            <wp:simplePos x="0" y="0"/>
            <wp:positionH relativeFrom="page">
              <wp:posOffset>635</wp:posOffset>
            </wp:positionH>
            <wp:positionV relativeFrom="page">
              <wp:posOffset>0</wp:posOffset>
            </wp:positionV>
            <wp:extent cx="7561580" cy="1902460"/>
            <wp:effectExtent l="0" t="0" r="1270" b="254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61580" cy="190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3030A" w14:textId="77777777" w:rsidR="00A62D44" w:rsidRPr="004C6EEE" w:rsidRDefault="00A62D44" w:rsidP="004C6EEE">
      <w:pPr>
        <w:pStyle w:val="Sectionbreakfirstpage"/>
        <w:sectPr w:rsidR="00A62D44" w:rsidRPr="004C6EEE" w:rsidSect="0000682E">
          <w:headerReference w:type="even" r:id="rId11"/>
          <w:headerReference w:type="default" r:id="rId12"/>
          <w:footerReference w:type="even" r:id="rId13"/>
          <w:footerReference w:type="default" r:id="rId14"/>
          <w:headerReference w:type="first" r:id="rId15"/>
          <w:footerReference w:type="first" r:id="rId16"/>
          <w:pgSz w:w="11906" w:h="16838" w:code="9"/>
          <w:pgMar w:top="680" w:right="851" w:bottom="1814" w:left="851" w:header="510" w:footer="510" w:gutter="0"/>
          <w:cols w:space="708"/>
          <w:docGrid w:linePitch="360"/>
        </w:sectPr>
      </w:pPr>
    </w:p>
    <w:tbl>
      <w:tblPr>
        <w:tblW w:w="0" w:type="auto"/>
        <w:tblLook w:val="04A0" w:firstRow="1" w:lastRow="0" w:firstColumn="1" w:lastColumn="0" w:noHBand="0" w:noVBand="1"/>
      </w:tblPr>
      <w:tblGrid>
        <w:gridCol w:w="9464"/>
      </w:tblGrid>
      <w:tr w:rsidR="00AD784C" w14:paraId="1C7AC1B1" w14:textId="77777777" w:rsidTr="00EE74E5">
        <w:trPr>
          <w:trHeight w:val="1247"/>
        </w:trPr>
        <w:tc>
          <w:tcPr>
            <w:tcW w:w="9464" w:type="dxa"/>
            <w:shd w:val="clear" w:color="auto" w:fill="auto"/>
            <w:vAlign w:val="bottom"/>
          </w:tcPr>
          <w:p w14:paraId="5B887198" w14:textId="00F63C24" w:rsidR="00AD784C" w:rsidRPr="00CE7A69" w:rsidRDefault="00CE7A69" w:rsidP="00EE74E5">
            <w:pPr>
              <w:pStyle w:val="DHHSmainheading"/>
              <w:rPr>
                <w:sz w:val="56"/>
                <w:szCs w:val="56"/>
              </w:rPr>
            </w:pPr>
            <w:r w:rsidRPr="00CE7A69">
              <w:rPr>
                <w:sz w:val="56"/>
                <w:szCs w:val="56"/>
              </w:rPr>
              <w:t>2020-21</w:t>
            </w:r>
            <w:r w:rsidR="00EE74E5" w:rsidRPr="00CE7A69">
              <w:rPr>
                <w:sz w:val="56"/>
                <w:szCs w:val="56"/>
              </w:rPr>
              <w:t xml:space="preserve"> </w:t>
            </w:r>
            <w:r w:rsidRPr="00CE7A69">
              <w:rPr>
                <w:sz w:val="56"/>
                <w:szCs w:val="56"/>
              </w:rPr>
              <w:t>metropolitan health infrastructure</w:t>
            </w:r>
            <w:r>
              <w:rPr>
                <w:sz w:val="56"/>
                <w:szCs w:val="56"/>
              </w:rPr>
              <w:t xml:space="preserve"> fund</w:t>
            </w:r>
          </w:p>
        </w:tc>
      </w:tr>
      <w:tr w:rsidR="00AD784C" w14:paraId="48E9A901" w14:textId="77777777" w:rsidTr="004B6F52">
        <w:trPr>
          <w:trHeight w:hRule="exact" w:val="737"/>
        </w:trPr>
        <w:tc>
          <w:tcPr>
            <w:tcW w:w="9464" w:type="dxa"/>
            <w:shd w:val="clear" w:color="auto" w:fill="auto"/>
            <w:tcMar>
              <w:top w:w="85" w:type="dxa"/>
              <w:bottom w:w="510" w:type="dxa"/>
            </w:tcMar>
          </w:tcPr>
          <w:p w14:paraId="2C65653D" w14:textId="38886154" w:rsidR="00357B4E" w:rsidRPr="00EE74E5" w:rsidRDefault="00CE7A69" w:rsidP="00EE74E5">
            <w:pPr>
              <w:pStyle w:val="DHHSmainsubheading"/>
            </w:pPr>
            <w:r>
              <w:t>Guidelines</w:t>
            </w:r>
          </w:p>
        </w:tc>
      </w:tr>
    </w:tbl>
    <w:p w14:paraId="65B54649" w14:textId="77777777" w:rsidR="00CE7A69" w:rsidRDefault="00CE7A69" w:rsidP="00CE7A69">
      <w:pPr>
        <w:pStyle w:val="DHHSTOCheadingfactsheet"/>
      </w:pPr>
      <w:r>
        <w:t>Contents</w:t>
      </w:r>
    </w:p>
    <w:p w14:paraId="2B5AD04A" w14:textId="739B7FB0" w:rsidR="00AB5F52" w:rsidRDefault="00CE7A69">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4016565" w:history="1">
        <w:r w:rsidR="00AB5F52" w:rsidRPr="00F05468">
          <w:rPr>
            <w:rStyle w:val="Hyperlink"/>
          </w:rPr>
          <w:t>Application link</w:t>
        </w:r>
        <w:r w:rsidR="00AB5F52">
          <w:rPr>
            <w:webHidden/>
          </w:rPr>
          <w:tab/>
        </w:r>
        <w:r w:rsidR="00AB5F52">
          <w:rPr>
            <w:webHidden/>
          </w:rPr>
          <w:fldChar w:fldCharType="begin"/>
        </w:r>
        <w:r w:rsidR="00AB5F52">
          <w:rPr>
            <w:webHidden/>
          </w:rPr>
          <w:instrText xml:space="preserve"> PAGEREF _Toc64016565 \h </w:instrText>
        </w:r>
        <w:r w:rsidR="00AB5F52">
          <w:rPr>
            <w:webHidden/>
          </w:rPr>
        </w:r>
        <w:r w:rsidR="00AB5F52">
          <w:rPr>
            <w:webHidden/>
          </w:rPr>
          <w:fldChar w:fldCharType="separate"/>
        </w:r>
        <w:r w:rsidR="00AB5F52">
          <w:rPr>
            <w:webHidden/>
          </w:rPr>
          <w:t>2</w:t>
        </w:r>
        <w:r w:rsidR="00AB5F52">
          <w:rPr>
            <w:webHidden/>
          </w:rPr>
          <w:fldChar w:fldCharType="end"/>
        </w:r>
      </w:hyperlink>
    </w:p>
    <w:p w14:paraId="55F560E0" w14:textId="571C3178" w:rsidR="00AB5F52" w:rsidRDefault="008813E2">
      <w:pPr>
        <w:pStyle w:val="TOC1"/>
        <w:rPr>
          <w:rFonts w:asciiTheme="minorHAnsi" w:eastAsiaTheme="minorEastAsia" w:hAnsiTheme="minorHAnsi" w:cstheme="minorBidi"/>
          <w:b w:val="0"/>
          <w:sz w:val="22"/>
          <w:szCs w:val="22"/>
          <w:lang w:eastAsia="en-AU"/>
        </w:rPr>
      </w:pPr>
      <w:hyperlink w:anchor="_Toc64016566" w:history="1">
        <w:r w:rsidR="00AB5F52" w:rsidRPr="00F05468">
          <w:rPr>
            <w:rStyle w:val="Hyperlink"/>
          </w:rPr>
          <w:t>Timeline</w:t>
        </w:r>
        <w:r w:rsidR="00AB5F52">
          <w:rPr>
            <w:webHidden/>
          </w:rPr>
          <w:tab/>
        </w:r>
        <w:r w:rsidR="00AB5F52">
          <w:rPr>
            <w:webHidden/>
          </w:rPr>
          <w:fldChar w:fldCharType="begin"/>
        </w:r>
        <w:r w:rsidR="00AB5F52">
          <w:rPr>
            <w:webHidden/>
          </w:rPr>
          <w:instrText xml:space="preserve"> PAGEREF _Toc64016566 \h </w:instrText>
        </w:r>
        <w:r w:rsidR="00AB5F52">
          <w:rPr>
            <w:webHidden/>
          </w:rPr>
        </w:r>
        <w:r w:rsidR="00AB5F52">
          <w:rPr>
            <w:webHidden/>
          </w:rPr>
          <w:fldChar w:fldCharType="separate"/>
        </w:r>
        <w:r w:rsidR="00AB5F52">
          <w:rPr>
            <w:webHidden/>
          </w:rPr>
          <w:t>2</w:t>
        </w:r>
        <w:r w:rsidR="00AB5F52">
          <w:rPr>
            <w:webHidden/>
          </w:rPr>
          <w:fldChar w:fldCharType="end"/>
        </w:r>
      </w:hyperlink>
    </w:p>
    <w:p w14:paraId="419261D8" w14:textId="0765A5AB" w:rsidR="00AB5F52" w:rsidRDefault="008813E2">
      <w:pPr>
        <w:pStyle w:val="TOC1"/>
        <w:rPr>
          <w:rFonts w:asciiTheme="minorHAnsi" w:eastAsiaTheme="minorEastAsia" w:hAnsiTheme="minorHAnsi" w:cstheme="minorBidi"/>
          <w:b w:val="0"/>
          <w:sz w:val="22"/>
          <w:szCs w:val="22"/>
          <w:lang w:eastAsia="en-AU"/>
        </w:rPr>
      </w:pPr>
      <w:hyperlink w:anchor="_Toc64016567" w:history="1">
        <w:r w:rsidR="00AB5F52" w:rsidRPr="00F05468">
          <w:rPr>
            <w:rStyle w:val="Hyperlink"/>
          </w:rPr>
          <w:t>Purpose</w:t>
        </w:r>
        <w:r w:rsidR="00AB5F52">
          <w:rPr>
            <w:webHidden/>
          </w:rPr>
          <w:tab/>
        </w:r>
        <w:r w:rsidR="00AB5F52">
          <w:rPr>
            <w:webHidden/>
          </w:rPr>
          <w:fldChar w:fldCharType="begin"/>
        </w:r>
        <w:r w:rsidR="00AB5F52">
          <w:rPr>
            <w:webHidden/>
          </w:rPr>
          <w:instrText xml:space="preserve"> PAGEREF _Toc64016567 \h </w:instrText>
        </w:r>
        <w:r w:rsidR="00AB5F52">
          <w:rPr>
            <w:webHidden/>
          </w:rPr>
        </w:r>
        <w:r w:rsidR="00AB5F52">
          <w:rPr>
            <w:webHidden/>
          </w:rPr>
          <w:fldChar w:fldCharType="separate"/>
        </w:r>
        <w:r w:rsidR="00AB5F52">
          <w:rPr>
            <w:webHidden/>
          </w:rPr>
          <w:t>2</w:t>
        </w:r>
        <w:r w:rsidR="00AB5F52">
          <w:rPr>
            <w:webHidden/>
          </w:rPr>
          <w:fldChar w:fldCharType="end"/>
        </w:r>
      </w:hyperlink>
    </w:p>
    <w:p w14:paraId="27C06799" w14:textId="360E80F6" w:rsidR="00AB5F52" w:rsidRDefault="008813E2">
      <w:pPr>
        <w:pStyle w:val="TOC1"/>
        <w:rPr>
          <w:rFonts w:asciiTheme="minorHAnsi" w:eastAsiaTheme="minorEastAsia" w:hAnsiTheme="minorHAnsi" w:cstheme="minorBidi"/>
          <w:b w:val="0"/>
          <w:sz w:val="22"/>
          <w:szCs w:val="22"/>
          <w:lang w:eastAsia="en-AU"/>
        </w:rPr>
      </w:pPr>
      <w:hyperlink w:anchor="_Toc64016568" w:history="1">
        <w:r w:rsidR="00AB5F52" w:rsidRPr="00F05468">
          <w:rPr>
            <w:rStyle w:val="Hyperlink"/>
          </w:rPr>
          <w:t>Principles</w:t>
        </w:r>
        <w:r w:rsidR="00AB5F52">
          <w:rPr>
            <w:webHidden/>
          </w:rPr>
          <w:tab/>
        </w:r>
        <w:r w:rsidR="00AB5F52">
          <w:rPr>
            <w:webHidden/>
          </w:rPr>
          <w:fldChar w:fldCharType="begin"/>
        </w:r>
        <w:r w:rsidR="00AB5F52">
          <w:rPr>
            <w:webHidden/>
          </w:rPr>
          <w:instrText xml:space="preserve"> PAGEREF _Toc64016568 \h </w:instrText>
        </w:r>
        <w:r w:rsidR="00AB5F52">
          <w:rPr>
            <w:webHidden/>
          </w:rPr>
        </w:r>
        <w:r w:rsidR="00AB5F52">
          <w:rPr>
            <w:webHidden/>
          </w:rPr>
          <w:fldChar w:fldCharType="separate"/>
        </w:r>
        <w:r w:rsidR="00AB5F52">
          <w:rPr>
            <w:webHidden/>
          </w:rPr>
          <w:t>2</w:t>
        </w:r>
        <w:r w:rsidR="00AB5F52">
          <w:rPr>
            <w:webHidden/>
          </w:rPr>
          <w:fldChar w:fldCharType="end"/>
        </w:r>
      </w:hyperlink>
    </w:p>
    <w:p w14:paraId="1B53210A" w14:textId="6EFA8170" w:rsidR="00AB5F52" w:rsidRDefault="008813E2">
      <w:pPr>
        <w:pStyle w:val="TOC1"/>
        <w:rPr>
          <w:rFonts w:asciiTheme="minorHAnsi" w:eastAsiaTheme="minorEastAsia" w:hAnsiTheme="minorHAnsi" w:cstheme="minorBidi"/>
          <w:b w:val="0"/>
          <w:sz w:val="22"/>
          <w:szCs w:val="22"/>
          <w:lang w:eastAsia="en-AU"/>
        </w:rPr>
      </w:pPr>
      <w:hyperlink w:anchor="_Toc64016569" w:history="1">
        <w:r w:rsidR="00AB5F52" w:rsidRPr="00F05468">
          <w:rPr>
            <w:rStyle w:val="Hyperlink"/>
          </w:rPr>
          <w:t>General eligibility criteria</w:t>
        </w:r>
        <w:r w:rsidR="00AB5F52">
          <w:rPr>
            <w:webHidden/>
          </w:rPr>
          <w:tab/>
        </w:r>
        <w:r w:rsidR="00AB5F52">
          <w:rPr>
            <w:webHidden/>
          </w:rPr>
          <w:fldChar w:fldCharType="begin"/>
        </w:r>
        <w:r w:rsidR="00AB5F52">
          <w:rPr>
            <w:webHidden/>
          </w:rPr>
          <w:instrText xml:space="preserve"> PAGEREF _Toc64016569 \h </w:instrText>
        </w:r>
        <w:r w:rsidR="00AB5F52">
          <w:rPr>
            <w:webHidden/>
          </w:rPr>
        </w:r>
        <w:r w:rsidR="00AB5F52">
          <w:rPr>
            <w:webHidden/>
          </w:rPr>
          <w:fldChar w:fldCharType="separate"/>
        </w:r>
        <w:r w:rsidR="00AB5F52">
          <w:rPr>
            <w:webHidden/>
          </w:rPr>
          <w:t>3</w:t>
        </w:r>
        <w:r w:rsidR="00AB5F52">
          <w:rPr>
            <w:webHidden/>
          </w:rPr>
          <w:fldChar w:fldCharType="end"/>
        </w:r>
      </w:hyperlink>
    </w:p>
    <w:p w14:paraId="5F2748E9" w14:textId="78E08B2B" w:rsidR="00AB5F52" w:rsidRDefault="008813E2">
      <w:pPr>
        <w:pStyle w:val="TOC2"/>
        <w:rPr>
          <w:rFonts w:asciiTheme="minorHAnsi" w:eastAsiaTheme="minorEastAsia" w:hAnsiTheme="minorHAnsi" w:cstheme="minorBidi"/>
          <w:sz w:val="22"/>
          <w:szCs w:val="22"/>
          <w:lang w:eastAsia="en-AU"/>
        </w:rPr>
      </w:pPr>
      <w:hyperlink w:anchor="_Toc64016570" w:history="1">
        <w:r w:rsidR="00AB5F52" w:rsidRPr="00F05468">
          <w:rPr>
            <w:rStyle w:val="Hyperlink"/>
          </w:rPr>
          <w:t>For eligible agencies</w:t>
        </w:r>
        <w:r w:rsidR="00AB5F52">
          <w:rPr>
            <w:webHidden/>
          </w:rPr>
          <w:tab/>
        </w:r>
        <w:r w:rsidR="00AB5F52">
          <w:rPr>
            <w:webHidden/>
          </w:rPr>
          <w:fldChar w:fldCharType="begin"/>
        </w:r>
        <w:r w:rsidR="00AB5F52">
          <w:rPr>
            <w:webHidden/>
          </w:rPr>
          <w:instrText xml:space="preserve"> PAGEREF _Toc64016570 \h </w:instrText>
        </w:r>
        <w:r w:rsidR="00AB5F52">
          <w:rPr>
            <w:webHidden/>
          </w:rPr>
        </w:r>
        <w:r w:rsidR="00AB5F52">
          <w:rPr>
            <w:webHidden/>
          </w:rPr>
          <w:fldChar w:fldCharType="separate"/>
        </w:r>
        <w:r w:rsidR="00AB5F52">
          <w:rPr>
            <w:webHidden/>
          </w:rPr>
          <w:t>3</w:t>
        </w:r>
        <w:r w:rsidR="00AB5F52">
          <w:rPr>
            <w:webHidden/>
          </w:rPr>
          <w:fldChar w:fldCharType="end"/>
        </w:r>
      </w:hyperlink>
    </w:p>
    <w:p w14:paraId="0124E90A" w14:textId="5FA47DA3" w:rsidR="00AB5F52" w:rsidRDefault="008813E2">
      <w:pPr>
        <w:pStyle w:val="TOC1"/>
        <w:rPr>
          <w:rFonts w:asciiTheme="minorHAnsi" w:eastAsiaTheme="minorEastAsia" w:hAnsiTheme="minorHAnsi" w:cstheme="minorBidi"/>
          <w:b w:val="0"/>
          <w:sz w:val="22"/>
          <w:szCs w:val="22"/>
          <w:lang w:eastAsia="en-AU"/>
        </w:rPr>
      </w:pPr>
      <w:hyperlink w:anchor="_Toc64016571" w:history="1">
        <w:r w:rsidR="00AB5F52" w:rsidRPr="00F05468">
          <w:rPr>
            <w:rStyle w:val="Hyperlink"/>
          </w:rPr>
          <w:t>Ineligible and excluded items</w:t>
        </w:r>
        <w:r w:rsidR="00AB5F52">
          <w:rPr>
            <w:webHidden/>
          </w:rPr>
          <w:tab/>
        </w:r>
        <w:r w:rsidR="00AB5F52">
          <w:rPr>
            <w:webHidden/>
          </w:rPr>
          <w:fldChar w:fldCharType="begin"/>
        </w:r>
        <w:r w:rsidR="00AB5F52">
          <w:rPr>
            <w:webHidden/>
          </w:rPr>
          <w:instrText xml:space="preserve"> PAGEREF _Toc64016571 \h </w:instrText>
        </w:r>
        <w:r w:rsidR="00AB5F52">
          <w:rPr>
            <w:webHidden/>
          </w:rPr>
        </w:r>
        <w:r w:rsidR="00AB5F52">
          <w:rPr>
            <w:webHidden/>
          </w:rPr>
          <w:fldChar w:fldCharType="separate"/>
        </w:r>
        <w:r w:rsidR="00AB5F52">
          <w:rPr>
            <w:webHidden/>
          </w:rPr>
          <w:t>5</w:t>
        </w:r>
        <w:r w:rsidR="00AB5F52">
          <w:rPr>
            <w:webHidden/>
          </w:rPr>
          <w:fldChar w:fldCharType="end"/>
        </w:r>
      </w:hyperlink>
    </w:p>
    <w:p w14:paraId="000CE8AC" w14:textId="17594B68" w:rsidR="00AB5F52" w:rsidRDefault="008813E2">
      <w:pPr>
        <w:pStyle w:val="TOC1"/>
        <w:rPr>
          <w:rFonts w:asciiTheme="minorHAnsi" w:eastAsiaTheme="minorEastAsia" w:hAnsiTheme="minorHAnsi" w:cstheme="minorBidi"/>
          <w:b w:val="0"/>
          <w:sz w:val="22"/>
          <w:szCs w:val="22"/>
          <w:lang w:eastAsia="en-AU"/>
        </w:rPr>
      </w:pPr>
      <w:hyperlink w:anchor="_Toc64016572" w:history="1">
        <w:r w:rsidR="00AB5F52" w:rsidRPr="00F05468">
          <w:rPr>
            <w:rStyle w:val="Hyperlink"/>
          </w:rPr>
          <w:t>Submission process</w:t>
        </w:r>
        <w:r w:rsidR="00AB5F52">
          <w:rPr>
            <w:webHidden/>
          </w:rPr>
          <w:tab/>
        </w:r>
        <w:r w:rsidR="00AB5F52">
          <w:rPr>
            <w:webHidden/>
          </w:rPr>
          <w:fldChar w:fldCharType="begin"/>
        </w:r>
        <w:r w:rsidR="00AB5F52">
          <w:rPr>
            <w:webHidden/>
          </w:rPr>
          <w:instrText xml:space="preserve"> PAGEREF _Toc64016572 \h </w:instrText>
        </w:r>
        <w:r w:rsidR="00AB5F52">
          <w:rPr>
            <w:webHidden/>
          </w:rPr>
        </w:r>
        <w:r w:rsidR="00AB5F52">
          <w:rPr>
            <w:webHidden/>
          </w:rPr>
          <w:fldChar w:fldCharType="separate"/>
        </w:r>
        <w:r w:rsidR="00AB5F52">
          <w:rPr>
            <w:webHidden/>
          </w:rPr>
          <w:t>5</w:t>
        </w:r>
        <w:r w:rsidR="00AB5F52">
          <w:rPr>
            <w:webHidden/>
          </w:rPr>
          <w:fldChar w:fldCharType="end"/>
        </w:r>
      </w:hyperlink>
    </w:p>
    <w:p w14:paraId="0A46BF44" w14:textId="2FE18C7F" w:rsidR="00AB5F52" w:rsidRDefault="008813E2">
      <w:pPr>
        <w:pStyle w:val="TOC1"/>
        <w:rPr>
          <w:rFonts w:asciiTheme="minorHAnsi" w:eastAsiaTheme="minorEastAsia" w:hAnsiTheme="minorHAnsi" w:cstheme="minorBidi"/>
          <w:b w:val="0"/>
          <w:sz w:val="22"/>
          <w:szCs w:val="22"/>
          <w:lang w:eastAsia="en-AU"/>
        </w:rPr>
      </w:pPr>
      <w:hyperlink w:anchor="_Toc64016573" w:history="1">
        <w:r w:rsidR="00AB5F52" w:rsidRPr="00F05468">
          <w:rPr>
            <w:rStyle w:val="Hyperlink"/>
          </w:rPr>
          <w:t>Submission requirements</w:t>
        </w:r>
        <w:r w:rsidR="00AB5F52">
          <w:rPr>
            <w:webHidden/>
          </w:rPr>
          <w:tab/>
        </w:r>
        <w:r w:rsidR="00AB5F52">
          <w:rPr>
            <w:webHidden/>
          </w:rPr>
          <w:fldChar w:fldCharType="begin"/>
        </w:r>
        <w:r w:rsidR="00AB5F52">
          <w:rPr>
            <w:webHidden/>
          </w:rPr>
          <w:instrText xml:space="preserve"> PAGEREF _Toc64016573 \h </w:instrText>
        </w:r>
        <w:r w:rsidR="00AB5F52">
          <w:rPr>
            <w:webHidden/>
          </w:rPr>
        </w:r>
        <w:r w:rsidR="00AB5F52">
          <w:rPr>
            <w:webHidden/>
          </w:rPr>
          <w:fldChar w:fldCharType="separate"/>
        </w:r>
        <w:r w:rsidR="00AB5F52">
          <w:rPr>
            <w:webHidden/>
          </w:rPr>
          <w:t>6</w:t>
        </w:r>
        <w:r w:rsidR="00AB5F52">
          <w:rPr>
            <w:webHidden/>
          </w:rPr>
          <w:fldChar w:fldCharType="end"/>
        </w:r>
      </w:hyperlink>
    </w:p>
    <w:p w14:paraId="57245C31" w14:textId="44A1018B" w:rsidR="00AB5F52" w:rsidRDefault="008813E2">
      <w:pPr>
        <w:pStyle w:val="TOC1"/>
        <w:rPr>
          <w:rFonts w:asciiTheme="minorHAnsi" w:eastAsiaTheme="minorEastAsia" w:hAnsiTheme="minorHAnsi" w:cstheme="minorBidi"/>
          <w:b w:val="0"/>
          <w:sz w:val="22"/>
          <w:szCs w:val="22"/>
          <w:lang w:eastAsia="en-AU"/>
        </w:rPr>
      </w:pPr>
      <w:hyperlink w:anchor="_Toc64016574" w:history="1">
        <w:r w:rsidR="00AB5F52" w:rsidRPr="00F05468">
          <w:rPr>
            <w:rStyle w:val="Hyperlink"/>
          </w:rPr>
          <w:t>Assessment criteria</w:t>
        </w:r>
        <w:r w:rsidR="00AB5F52">
          <w:rPr>
            <w:webHidden/>
          </w:rPr>
          <w:tab/>
        </w:r>
        <w:r w:rsidR="00AB5F52">
          <w:rPr>
            <w:webHidden/>
          </w:rPr>
          <w:fldChar w:fldCharType="begin"/>
        </w:r>
        <w:r w:rsidR="00AB5F52">
          <w:rPr>
            <w:webHidden/>
          </w:rPr>
          <w:instrText xml:space="preserve"> PAGEREF _Toc64016574 \h </w:instrText>
        </w:r>
        <w:r w:rsidR="00AB5F52">
          <w:rPr>
            <w:webHidden/>
          </w:rPr>
        </w:r>
        <w:r w:rsidR="00AB5F52">
          <w:rPr>
            <w:webHidden/>
          </w:rPr>
          <w:fldChar w:fldCharType="separate"/>
        </w:r>
        <w:r w:rsidR="00AB5F52">
          <w:rPr>
            <w:webHidden/>
          </w:rPr>
          <w:t>7</w:t>
        </w:r>
        <w:r w:rsidR="00AB5F52">
          <w:rPr>
            <w:webHidden/>
          </w:rPr>
          <w:fldChar w:fldCharType="end"/>
        </w:r>
      </w:hyperlink>
    </w:p>
    <w:p w14:paraId="28F1B845" w14:textId="0362529A" w:rsidR="00AB5F52" w:rsidRDefault="008813E2">
      <w:pPr>
        <w:pStyle w:val="TOC2"/>
        <w:rPr>
          <w:rFonts w:asciiTheme="minorHAnsi" w:eastAsiaTheme="minorEastAsia" w:hAnsiTheme="minorHAnsi" w:cstheme="minorBidi"/>
          <w:sz w:val="22"/>
          <w:szCs w:val="22"/>
          <w:lang w:eastAsia="en-AU"/>
        </w:rPr>
      </w:pPr>
      <w:hyperlink w:anchor="_Toc64016575" w:history="1">
        <w:r w:rsidR="00AB5F52" w:rsidRPr="00F05468">
          <w:rPr>
            <w:rStyle w:val="Hyperlink"/>
          </w:rPr>
          <w:t>Assessment of capital/construction projects</w:t>
        </w:r>
        <w:r w:rsidR="00AB5F52">
          <w:rPr>
            <w:webHidden/>
          </w:rPr>
          <w:tab/>
        </w:r>
        <w:r w:rsidR="00AB5F52">
          <w:rPr>
            <w:webHidden/>
          </w:rPr>
          <w:fldChar w:fldCharType="begin"/>
        </w:r>
        <w:r w:rsidR="00AB5F52">
          <w:rPr>
            <w:webHidden/>
          </w:rPr>
          <w:instrText xml:space="preserve"> PAGEREF _Toc64016575 \h </w:instrText>
        </w:r>
        <w:r w:rsidR="00AB5F52">
          <w:rPr>
            <w:webHidden/>
          </w:rPr>
        </w:r>
        <w:r w:rsidR="00AB5F52">
          <w:rPr>
            <w:webHidden/>
          </w:rPr>
          <w:fldChar w:fldCharType="separate"/>
        </w:r>
        <w:r w:rsidR="00AB5F52">
          <w:rPr>
            <w:webHidden/>
          </w:rPr>
          <w:t>8</w:t>
        </w:r>
        <w:r w:rsidR="00AB5F52">
          <w:rPr>
            <w:webHidden/>
          </w:rPr>
          <w:fldChar w:fldCharType="end"/>
        </w:r>
      </w:hyperlink>
    </w:p>
    <w:p w14:paraId="5C36F44C" w14:textId="0B1FD60E" w:rsidR="00AB5F52" w:rsidRDefault="008813E2">
      <w:pPr>
        <w:pStyle w:val="TOC1"/>
        <w:rPr>
          <w:rFonts w:asciiTheme="minorHAnsi" w:eastAsiaTheme="minorEastAsia" w:hAnsiTheme="minorHAnsi" w:cstheme="minorBidi"/>
          <w:b w:val="0"/>
          <w:sz w:val="22"/>
          <w:szCs w:val="22"/>
          <w:lang w:eastAsia="en-AU"/>
        </w:rPr>
      </w:pPr>
      <w:hyperlink w:anchor="_Toc64016576" w:history="1">
        <w:r w:rsidR="00AB5F52" w:rsidRPr="00F05468">
          <w:rPr>
            <w:rStyle w:val="Hyperlink"/>
          </w:rPr>
          <w:t>Conditions of funding</w:t>
        </w:r>
        <w:r w:rsidR="00AB5F52">
          <w:rPr>
            <w:webHidden/>
          </w:rPr>
          <w:tab/>
        </w:r>
        <w:r w:rsidR="00AB5F52">
          <w:rPr>
            <w:webHidden/>
          </w:rPr>
          <w:fldChar w:fldCharType="begin"/>
        </w:r>
        <w:r w:rsidR="00AB5F52">
          <w:rPr>
            <w:webHidden/>
          </w:rPr>
          <w:instrText xml:space="preserve"> PAGEREF _Toc64016576 \h </w:instrText>
        </w:r>
        <w:r w:rsidR="00AB5F52">
          <w:rPr>
            <w:webHidden/>
          </w:rPr>
        </w:r>
        <w:r w:rsidR="00AB5F52">
          <w:rPr>
            <w:webHidden/>
          </w:rPr>
          <w:fldChar w:fldCharType="separate"/>
        </w:r>
        <w:r w:rsidR="00AB5F52">
          <w:rPr>
            <w:webHidden/>
          </w:rPr>
          <w:t>8</w:t>
        </w:r>
        <w:r w:rsidR="00AB5F52">
          <w:rPr>
            <w:webHidden/>
          </w:rPr>
          <w:fldChar w:fldCharType="end"/>
        </w:r>
      </w:hyperlink>
    </w:p>
    <w:p w14:paraId="43470185" w14:textId="0634296B" w:rsidR="00AB5F52" w:rsidRDefault="008813E2">
      <w:pPr>
        <w:pStyle w:val="TOC2"/>
        <w:rPr>
          <w:rFonts w:asciiTheme="minorHAnsi" w:eastAsiaTheme="minorEastAsia" w:hAnsiTheme="minorHAnsi" w:cstheme="minorBidi"/>
          <w:sz w:val="22"/>
          <w:szCs w:val="22"/>
          <w:lang w:eastAsia="en-AU"/>
        </w:rPr>
      </w:pPr>
      <w:hyperlink w:anchor="_Toc64016577" w:history="1">
        <w:r w:rsidR="00AB5F52" w:rsidRPr="00F05468">
          <w:rPr>
            <w:rStyle w:val="Hyperlink"/>
          </w:rPr>
          <w:t>Asset management</w:t>
        </w:r>
        <w:r w:rsidR="00AB5F52">
          <w:rPr>
            <w:webHidden/>
          </w:rPr>
          <w:tab/>
        </w:r>
        <w:r w:rsidR="00AB5F52">
          <w:rPr>
            <w:webHidden/>
          </w:rPr>
          <w:fldChar w:fldCharType="begin"/>
        </w:r>
        <w:r w:rsidR="00AB5F52">
          <w:rPr>
            <w:webHidden/>
          </w:rPr>
          <w:instrText xml:space="preserve"> PAGEREF _Toc64016577 \h </w:instrText>
        </w:r>
        <w:r w:rsidR="00AB5F52">
          <w:rPr>
            <w:webHidden/>
          </w:rPr>
        </w:r>
        <w:r w:rsidR="00AB5F52">
          <w:rPr>
            <w:webHidden/>
          </w:rPr>
          <w:fldChar w:fldCharType="separate"/>
        </w:r>
        <w:r w:rsidR="00AB5F52">
          <w:rPr>
            <w:webHidden/>
          </w:rPr>
          <w:t>8</w:t>
        </w:r>
        <w:r w:rsidR="00AB5F52">
          <w:rPr>
            <w:webHidden/>
          </w:rPr>
          <w:fldChar w:fldCharType="end"/>
        </w:r>
      </w:hyperlink>
    </w:p>
    <w:p w14:paraId="1612131A" w14:textId="18E37E9D" w:rsidR="00AB5F52" w:rsidRDefault="008813E2">
      <w:pPr>
        <w:pStyle w:val="TOC2"/>
        <w:rPr>
          <w:rFonts w:asciiTheme="minorHAnsi" w:eastAsiaTheme="minorEastAsia" w:hAnsiTheme="minorHAnsi" w:cstheme="minorBidi"/>
          <w:sz w:val="22"/>
          <w:szCs w:val="22"/>
          <w:lang w:eastAsia="en-AU"/>
        </w:rPr>
      </w:pPr>
      <w:hyperlink w:anchor="_Toc64016578" w:history="1">
        <w:r w:rsidR="00AB5F52" w:rsidRPr="00F05468">
          <w:rPr>
            <w:rStyle w:val="Hyperlink"/>
          </w:rPr>
          <w:t>Governance</w:t>
        </w:r>
        <w:r w:rsidR="00AB5F52">
          <w:rPr>
            <w:webHidden/>
          </w:rPr>
          <w:tab/>
        </w:r>
        <w:r w:rsidR="00AB5F52">
          <w:rPr>
            <w:webHidden/>
          </w:rPr>
          <w:fldChar w:fldCharType="begin"/>
        </w:r>
        <w:r w:rsidR="00AB5F52">
          <w:rPr>
            <w:webHidden/>
          </w:rPr>
          <w:instrText xml:space="preserve"> PAGEREF _Toc64016578 \h </w:instrText>
        </w:r>
        <w:r w:rsidR="00AB5F52">
          <w:rPr>
            <w:webHidden/>
          </w:rPr>
        </w:r>
        <w:r w:rsidR="00AB5F52">
          <w:rPr>
            <w:webHidden/>
          </w:rPr>
          <w:fldChar w:fldCharType="separate"/>
        </w:r>
        <w:r w:rsidR="00AB5F52">
          <w:rPr>
            <w:webHidden/>
          </w:rPr>
          <w:t>9</w:t>
        </w:r>
        <w:r w:rsidR="00AB5F52">
          <w:rPr>
            <w:webHidden/>
          </w:rPr>
          <w:fldChar w:fldCharType="end"/>
        </w:r>
      </w:hyperlink>
    </w:p>
    <w:p w14:paraId="4E73805F" w14:textId="4D648C0D" w:rsidR="00AB5F52" w:rsidRDefault="008813E2">
      <w:pPr>
        <w:pStyle w:val="TOC2"/>
        <w:rPr>
          <w:rFonts w:asciiTheme="minorHAnsi" w:eastAsiaTheme="minorEastAsia" w:hAnsiTheme="minorHAnsi" w:cstheme="minorBidi"/>
          <w:sz w:val="22"/>
          <w:szCs w:val="22"/>
          <w:lang w:eastAsia="en-AU"/>
        </w:rPr>
      </w:pPr>
      <w:hyperlink w:anchor="_Toc64016579" w:history="1">
        <w:r w:rsidR="00AB5F52" w:rsidRPr="00F05468">
          <w:rPr>
            <w:rStyle w:val="Hyperlink"/>
          </w:rPr>
          <w:t>Payments and reporting milestones</w:t>
        </w:r>
        <w:r w:rsidR="00AB5F52">
          <w:rPr>
            <w:webHidden/>
          </w:rPr>
          <w:tab/>
        </w:r>
        <w:r w:rsidR="00AB5F52">
          <w:rPr>
            <w:webHidden/>
          </w:rPr>
          <w:fldChar w:fldCharType="begin"/>
        </w:r>
        <w:r w:rsidR="00AB5F52">
          <w:rPr>
            <w:webHidden/>
          </w:rPr>
          <w:instrText xml:space="preserve"> PAGEREF _Toc64016579 \h </w:instrText>
        </w:r>
        <w:r w:rsidR="00AB5F52">
          <w:rPr>
            <w:webHidden/>
          </w:rPr>
        </w:r>
        <w:r w:rsidR="00AB5F52">
          <w:rPr>
            <w:webHidden/>
          </w:rPr>
          <w:fldChar w:fldCharType="separate"/>
        </w:r>
        <w:r w:rsidR="00AB5F52">
          <w:rPr>
            <w:webHidden/>
          </w:rPr>
          <w:t>9</w:t>
        </w:r>
        <w:r w:rsidR="00AB5F52">
          <w:rPr>
            <w:webHidden/>
          </w:rPr>
          <w:fldChar w:fldCharType="end"/>
        </w:r>
      </w:hyperlink>
    </w:p>
    <w:p w14:paraId="401091A1" w14:textId="49B10D1E" w:rsidR="00AB5F52" w:rsidRDefault="008813E2">
      <w:pPr>
        <w:pStyle w:val="TOC2"/>
        <w:rPr>
          <w:rFonts w:asciiTheme="minorHAnsi" w:eastAsiaTheme="minorEastAsia" w:hAnsiTheme="minorHAnsi" w:cstheme="minorBidi"/>
          <w:sz w:val="22"/>
          <w:szCs w:val="22"/>
          <w:lang w:eastAsia="en-AU"/>
        </w:rPr>
      </w:pPr>
      <w:hyperlink w:anchor="_Toc64016580" w:history="1">
        <w:r w:rsidR="00AB5F52" w:rsidRPr="00F05468">
          <w:rPr>
            <w:rStyle w:val="Hyperlink"/>
          </w:rPr>
          <w:t>Reporting</w:t>
        </w:r>
        <w:r w:rsidR="00AB5F52">
          <w:rPr>
            <w:webHidden/>
          </w:rPr>
          <w:tab/>
        </w:r>
        <w:r w:rsidR="00AB5F52">
          <w:rPr>
            <w:webHidden/>
          </w:rPr>
          <w:fldChar w:fldCharType="begin"/>
        </w:r>
        <w:r w:rsidR="00AB5F52">
          <w:rPr>
            <w:webHidden/>
          </w:rPr>
          <w:instrText xml:space="preserve"> PAGEREF _Toc64016580 \h </w:instrText>
        </w:r>
        <w:r w:rsidR="00AB5F52">
          <w:rPr>
            <w:webHidden/>
          </w:rPr>
        </w:r>
        <w:r w:rsidR="00AB5F52">
          <w:rPr>
            <w:webHidden/>
          </w:rPr>
          <w:fldChar w:fldCharType="separate"/>
        </w:r>
        <w:r w:rsidR="00AB5F52">
          <w:rPr>
            <w:webHidden/>
          </w:rPr>
          <w:t>10</w:t>
        </w:r>
        <w:r w:rsidR="00AB5F52">
          <w:rPr>
            <w:webHidden/>
          </w:rPr>
          <w:fldChar w:fldCharType="end"/>
        </w:r>
      </w:hyperlink>
    </w:p>
    <w:p w14:paraId="56AFB483" w14:textId="1FBA4E67" w:rsidR="00AB5F52" w:rsidRDefault="008813E2">
      <w:pPr>
        <w:pStyle w:val="TOC2"/>
        <w:rPr>
          <w:rFonts w:asciiTheme="minorHAnsi" w:eastAsiaTheme="minorEastAsia" w:hAnsiTheme="minorHAnsi" w:cstheme="minorBidi"/>
          <w:sz w:val="22"/>
          <w:szCs w:val="22"/>
          <w:lang w:eastAsia="en-AU"/>
        </w:rPr>
      </w:pPr>
      <w:hyperlink w:anchor="_Toc64016581" w:history="1">
        <w:r w:rsidR="00AB5F52" w:rsidRPr="00F05468">
          <w:rPr>
            <w:rStyle w:val="Hyperlink"/>
          </w:rPr>
          <w:t>Procurement</w:t>
        </w:r>
        <w:r w:rsidR="00AB5F52">
          <w:rPr>
            <w:webHidden/>
          </w:rPr>
          <w:tab/>
        </w:r>
        <w:r w:rsidR="00AB5F52">
          <w:rPr>
            <w:webHidden/>
          </w:rPr>
          <w:fldChar w:fldCharType="begin"/>
        </w:r>
        <w:r w:rsidR="00AB5F52">
          <w:rPr>
            <w:webHidden/>
          </w:rPr>
          <w:instrText xml:space="preserve"> PAGEREF _Toc64016581 \h </w:instrText>
        </w:r>
        <w:r w:rsidR="00AB5F52">
          <w:rPr>
            <w:webHidden/>
          </w:rPr>
        </w:r>
        <w:r w:rsidR="00AB5F52">
          <w:rPr>
            <w:webHidden/>
          </w:rPr>
          <w:fldChar w:fldCharType="separate"/>
        </w:r>
        <w:r w:rsidR="00AB5F52">
          <w:rPr>
            <w:webHidden/>
          </w:rPr>
          <w:t>10</w:t>
        </w:r>
        <w:r w:rsidR="00AB5F52">
          <w:rPr>
            <w:webHidden/>
          </w:rPr>
          <w:fldChar w:fldCharType="end"/>
        </w:r>
      </w:hyperlink>
    </w:p>
    <w:p w14:paraId="2DACFC6D" w14:textId="14592CC9" w:rsidR="00AB5F52" w:rsidRDefault="008813E2">
      <w:pPr>
        <w:pStyle w:val="TOC2"/>
        <w:rPr>
          <w:rFonts w:asciiTheme="minorHAnsi" w:eastAsiaTheme="minorEastAsia" w:hAnsiTheme="minorHAnsi" w:cstheme="minorBidi"/>
          <w:sz w:val="22"/>
          <w:szCs w:val="22"/>
          <w:lang w:eastAsia="en-AU"/>
        </w:rPr>
      </w:pPr>
      <w:hyperlink w:anchor="_Toc64016582" w:history="1">
        <w:r w:rsidR="00AB5F52" w:rsidRPr="00F05468">
          <w:rPr>
            <w:rStyle w:val="Hyperlink"/>
            <w:rFonts w:eastAsia="MS Mincho"/>
          </w:rPr>
          <w:t>Disposal</w:t>
        </w:r>
        <w:r w:rsidR="00AB5F52">
          <w:rPr>
            <w:webHidden/>
          </w:rPr>
          <w:tab/>
        </w:r>
        <w:r w:rsidR="00AB5F52">
          <w:rPr>
            <w:webHidden/>
          </w:rPr>
          <w:fldChar w:fldCharType="begin"/>
        </w:r>
        <w:r w:rsidR="00AB5F52">
          <w:rPr>
            <w:webHidden/>
          </w:rPr>
          <w:instrText xml:space="preserve"> PAGEREF _Toc64016582 \h </w:instrText>
        </w:r>
        <w:r w:rsidR="00AB5F52">
          <w:rPr>
            <w:webHidden/>
          </w:rPr>
        </w:r>
        <w:r w:rsidR="00AB5F52">
          <w:rPr>
            <w:webHidden/>
          </w:rPr>
          <w:fldChar w:fldCharType="separate"/>
        </w:r>
        <w:r w:rsidR="00AB5F52">
          <w:rPr>
            <w:webHidden/>
          </w:rPr>
          <w:t>11</w:t>
        </w:r>
        <w:r w:rsidR="00AB5F52">
          <w:rPr>
            <w:webHidden/>
          </w:rPr>
          <w:fldChar w:fldCharType="end"/>
        </w:r>
      </w:hyperlink>
    </w:p>
    <w:p w14:paraId="605CBE95" w14:textId="386E378E" w:rsidR="00AB5F52" w:rsidRDefault="008813E2">
      <w:pPr>
        <w:pStyle w:val="TOC1"/>
        <w:rPr>
          <w:rFonts w:asciiTheme="minorHAnsi" w:eastAsiaTheme="minorEastAsia" w:hAnsiTheme="minorHAnsi" w:cstheme="minorBidi"/>
          <w:b w:val="0"/>
          <w:sz w:val="22"/>
          <w:szCs w:val="22"/>
          <w:lang w:eastAsia="en-AU"/>
        </w:rPr>
      </w:pPr>
      <w:hyperlink w:anchor="_Toc64016583" w:history="1">
        <w:r w:rsidR="00AB5F52" w:rsidRPr="00F05468">
          <w:rPr>
            <w:rStyle w:val="Hyperlink"/>
          </w:rPr>
          <w:t>Appendix 1: Construction projects in Victoria - references and links</w:t>
        </w:r>
        <w:r w:rsidR="00AB5F52">
          <w:rPr>
            <w:webHidden/>
          </w:rPr>
          <w:tab/>
        </w:r>
        <w:r w:rsidR="00AB5F52">
          <w:rPr>
            <w:webHidden/>
          </w:rPr>
          <w:fldChar w:fldCharType="begin"/>
        </w:r>
        <w:r w:rsidR="00AB5F52">
          <w:rPr>
            <w:webHidden/>
          </w:rPr>
          <w:instrText xml:space="preserve"> PAGEREF _Toc64016583 \h </w:instrText>
        </w:r>
        <w:r w:rsidR="00AB5F52">
          <w:rPr>
            <w:webHidden/>
          </w:rPr>
        </w:r>
        <w:r w:rsidR="00AB5F52">
          <w:rPr>
            <w:webHidden/>
          </w:rPr>
          <w:fldChar w:fldCharType="separate"/>
        </w:r>
        <w:r w:rsidR="00AB5F52">
          <w:rPr>
            <w:webHidden/>
          </w:rPr>
          <w:t>12</w:t>
        </w:r>
        <w:r w:rsidR="00AB5F52">
          <w:rPr>
            <w:webHidden/>
          </w:rPr>
          <w:fldChar w:fldCharType="end"/>
        </w:r>
      </w:hyperlink>
    </w:p>
    <w:p w14:paraId="610843ED" w14:textId="2A2FBFE8" w:rsidR="00AB5F52" w:rsidRDefault="008813E2">
      <w:pPr>
        <w:pStyle w:val="TOC2"/>
        <w:rPr>
          <w:rFonts w:asciiTheme="minorHAnsi" w:eastAsiaTheme="minorEastAsia" w:hAnsiTheme="minorHAnsi" w:cstheme="minorBidi"/>
          <w:sz w:val="22"/>
          <w:szCs w:val="22"/>
          <w:lang w:eastAsia="en-AU"/>
        </w:rPr>
      </w:pPr>
      <w:hyperlink w:anchor="_Toc64016584" w:history="1">
        <w:r w:rsidR="00AB5F52" w:rsidRPr="00F05468">
          <w:rPr>
            <w:rStyle w:val="Hyperlink"/>
          </w:rPr>
          <w:t>Department of Health and Human Services website</w:t>
        </w:r>
        <w:r w:rsidR="00AB5F52">
          <w:rPr>
            <w:webHidden/>
          </w:rPr>
          <w:tab/>
        </w:r>
        <w:r w:rsidR="00AB5F52">
          <w:rPr>
            <w:webHidden/>
          </w:rPr>
          <w:fldChar w:fldCharType="begin"/>
        </w:r>
        <w:r w:rsidR="00AB5F52">
          <w:rPr>
            <w:webHidden/>
          </w:rPr>
          <w:instrText xml:space="preserve"> PAGEREF _Toc64016584 \h </w:instrText>
        </w:r>
        <w:r w:rsidR="00AB5F52">
          <w:rPr>
            <w:webHidden/>
          </w:rPr>
        </w:r>
        <w:r w:rsidR="00AB5F52">
          <w:rPr>
            <w:webHidden/>
          </w:rPr>
          <w:fldChar w:fldCharType="separate"/>
        </w:r>
        <w:r w:rsidR="00AB5F52">
          <w:rPr>
            <w:webHidden/>
          </w:rPr>
          <w:t>12</w:t>
        </w:r>
        <w:r w:rsidR="00AB5F52">
          <w:rPr>
            <w:webHidden/>
          </w:rPr>
          <w:fldChar w:fldCharType="end"/>
        </w:r>
      </w:hyperlink>
    </w:p>
    <w:p w14:paraId="1522C739" w14:textId="7D227855" w:rsidR="00AB5F52" w:rsidRDefault="008813E2">
      <w:pPr>
        <w:pStyle w:val="TOC2"/>
        <w:rPr>
          <w:rFonts w:asciiTheme="minorHAnsi" w:eastAsiaTheme="minorEastAsia" w:hAnsiTheme="minorHAnsi" w:cstheme="minorBidi"/>
          <w:sz w:val="22"/>
          <w:szCs w:val="22"/>
          <w:lang w:eastAsia="en-AU"/>
        </w:rPr>
      </w:pPr>
      <w:hyperlink w:anchor="_Toc64016585" w:history="1">
        <w:r w:rsidR="00AB5F52" w:rsidRPr="00F05468">
          <w:rPr>
            <w:rStyle w:val="Hyperlink"/>
          </w:rPr>
          <w:t>Victorian Health and Human Services Building Authority website</w:t>
        </w:r>
        <w:r w:rsidR="00AB5F52">
          <w:rPr>
            <w:webHidden/>
          </w:rPr>
          <w:tab/>
        </w:r>
        <w:r w:rsidR="00AB5F52">
          <w:rPr>
            <w:webHidden/>
          </w:rPr>
          <w:fldChar w:fldCharType="begin"/>
        </w:r>
        <w:r w:rsidR="00AB5F52">
          <w:rPr>
            <w:webHidden/>
          </w:rPr>
          <w:instrText xml:space="preserve"> PAGEREF _Toc64016585 \h </w:instrText>
        </w:r>
        <w:r w:rsidR="00AB5F52">
          <w:rPr>
            <w:webHidden/>
          </w:rPr>
        </w:r>
        <w:r w:rsidR="00AB5F52">
          <w:rPr>
            <w:webHidden/>
          </w:rPr>
          <w:fldChar w:fldCharType="separate"/>
        </w:r>
        <w:r w:rsidR="00AB5F52">
          <w:rPr>
            <w:webHidden/>
          </w:rPr>
          <w:t>12</w:t>
        </w:r>
        <w:r w:rsidR="00AB5F52">
          <w:rPr>
            <w:webHidden/>
          </w:rPr>
          <w:fldChar w:fldCharType="end"/>
        </w:r>
      </w:hyperlink>
    </w:p>
    <w:p w14:paraId="72418D4D" w14:textId="4CCB15A0" w:rsidR="00AB5F52" w:rsidRDefault="008813E2">
      <w:pPr>
        <w:pStyle w:val="TOC2"/>
        <w:rPr>
          <w:rFonts w:asciiTheme="minorHAnsi" w:eastAsiaTheme="minorEastAsia" w:hAnsiTheme="minorHAnsi" w:cstheme="minorBidi"/>
          <w:sz w:val="22"/>
          <w:szCs w:val="22"/>
          <w:lang w:eastAsia="en-AU"/>
        </w:rPr>
      </w:pPr>
      <w:hyperlink w:anchor="_Toc64016586" w:history="1">
        <w:r w:rsidR="00AB5F52" w:rsidRPr="00F05468">
          <w:rPr>
            <w:rStyle w:val="Hyperlink"/>
          </w:rPr>
          <w:t>Department of Treasury and Finance website</w:t>
        </w:r>
        <w:r w:rsidR="00AB5F52">
          <w:rPr>
            <w:webHidden/>
          </w:rPr>
          <w:tab/>
        </w:r>
        <w:r w:rsidR="00AB5F52">
          <w:rPr>
            <w:webHidden/>
          </w:rPr>
          <w:fldChar w:fldCharType="begin"/>
        </w:r>
        <w:r w:rsidR="00AB5F52">
          <w:rPr>
            <w:webHidden/>
          </w:rPr>
          <w:instrText xml:space="preserve"> PAGEREF _Toc64016586 \h </w:instrText>
        </w:r>
        <w:r w:rsidR="00AB5F52">
          <w:rPr>
            <w:webHidden/>
          </w:rPr>
        </w:r>
        <w:r w:rsidR="00AB5F52">
          <w:rPr>
            <w:webHidden/>
          </w:rPr>
          <w:fldChar w:fldCharType="separate"/>
        </w:r>
        <w:r w:rsidR="00AB5F52">
          <w:rPr>
            <w:webHidden/>
          </w:rPr>
          <w:t>12</w:t>
        </w:r>
        <w:r w:rsidR="00AB5F52">
          <w:rPr>
            <w:webHidden/>
          </w:rPr>
          <w:fldChar w:fldCharType="end"/>
        </w:r>
      </w:hyperlink>
    </w:p>
    <w:p w14:paraId="57D6BAA2" w14:textId="588EBF6D" w:rsidR="00AB5F52" w:rsidRDefault="008813E2">
      <w:pPr>
        <w:pStyle w:val="TOC2"/>
        <w:rPr>
          <w:rFonts w:asciiTheme="minorHAnsi" w:eastAsiaTheme="minorEastAsia" w:hAnsiTheme="minorHAnsi" w:cstheme="minorBidi"/>
          <w:sz w:val="22"/>
          <w:szCs w:val="22"/>
          <w:lang w:eastAsia="en-AU"/>
        </w:rPr>
      </w:pPr>
      <w:hyperlink w:anchor="_Toc64016587" w:history="1">
        <w:r w:rsidR="00AB5F52" w:rsidRPr="00F05468">
          <w:rPr>
            <w:rStyle w:val="Hyperlink"/>
          </w:rPr>
          <w:t>Local Jobs First website</w:t>
        </w:r>
        <w:r w:rsidR="00AB5F52">
          <w:rPr>
            <w:webHidden/>
          </w:rPr>
          <w:tab/>
        </w:r>
        <w:r w:rsidR="00AB5F52">
          <w:rPr>
            <w:webHidden/>
          </w:rPr>
          <w:fldChar w:fldCharType="begin"/>
        </w:r>
        <w:r w:rsidR="00AB5F52">
          <w:rPr>
            <w:webHidden/>
          </w:rPr>
          <w:instrText xml:space="preserve"> PAGEREF _Toc64016587 \h </w:instrText>
        </w:r>
        <w:r w:rsidR="00AB5F52">
          <w:rPr>
            <w:webHidden/>
          </w:rPr>
        </w:r>
        <w:r w:rsidR="00AB5F52">
          <w:rPr>
            <w:webHidden/>
          </w:rPr>
          <w:fldChar w:fldCharType="separate"/>
        </w:r>
        <w:r w:rsidR="00AB5F52">
          <w:rPr>
            <w:webHidden/>
          </w:rPr>
          <w:t>12</w:t>
        </w:r>
        <w:r w:rsidR="00AB5F52">
          <w:rPr>
            <w:webHidden/>
          </w:rPr>
          <w:fldChar w:fldCharType="end"/>
        </w:r>
      </w:hyperlink>
    </w:p>
    <w:p w14:paraId="63C2B5D6" w14:textId="5C1E11AC" w:rsidR="00AB5F52" w:rsidRDefault="008813E2">
      <w:pPr>
        <w:pStyle w:val="TOC2"/>
        <w:rPr>
          <w:rFonts w:asciiTheme="minorHAnsi" w:eastAsiaTheme="minorEastAsia" w:hAnsiTheme="minorHAnsi" w:cstheme="minorBidi"/>
          <w:sz w:val="22"/>
          <w:szCs w:val="22"/>
          <w:lang w:eastAsia="en-AU"/>
        </w:rPr>
      </w:pPr>
      <w:hyperlink w:anchor="_Toc64016588" w:history="1">
        <w:r w:rsidR="00AB5F52" w:rsidRPr="00F05468">
          <w:rPr>
            <w:rStyle w:val="Hyperlink"/>
          </w:rPr>
          <w:t>Jobs Victoria website</w:t>
        </w:r>
        <w:r w:rsidR="00AB5F52">
          <w:rPr>
            <w:webHidden/>
          </w:rPr>
          <w:tab/>
        </w:r>
        <w:r w:rsidR="00AB5F52">
          <w:rPr>
            <w:webHidden/>
          </w:rPr>
          <w:fldChar w:fldCharType="begin"/>
        </w:r>
        <w:r w:rsidR="00AB5F52">
          <w:rPr>
            <w:webHidden/>
          </w:rPr>
          <w:instrText xml:space="preserve"> PAGEREF _Toc64016588 \h </w:instrText>
        </w:r>
        <w:r w:rsidR="00AB5F52">
          <w:rPr>
            <w:webHidden/>
          </w:rPr>
        </w:r>
        <w:r w:rsidR="00AB5F52">
          <w:rPr>
            <w:webHidden/>
          </w:rPr>
          <w:fldChar w:fldCharType="separate"/>
        </w:r>
        <w:r w:rsidR="00AB5F52">
          <w:rPr>
            <w:webHidden/>
          </w:rPr>
          <w:t>12</w:t>
        </w:r>
        <w:r w:rsidR="00AB5F52">
          <w:rPr>
            <w:webHidden/>
          </w:rPr>
          <w:fldChar w:fldCharType="end"/>
        </w:r>
      </w:hyperlink>
    </w:p>
    <w:p w14:paraId="3FC6BC8B" w14:textId="7BC8BA28" w:rsidR="00AB5F52" w:rsidRDefault="008813E2">
      <w:pPr>
        <w:pStyle w:val="TOC2"/>
        <w:rPr>
          <w:rFonts w:asciiTheme="minorHAnsi" w:eastAsiaTheme="minorEastAsia" w:hAnsiTheme="minorHAnsi" w:cstheme="minorBidi"/>
          <w:sz w:val="22"/>
          <w:szCs w:val="22"/>
          <w:lang w:eastAsia="en-AU"/>
        </w:rPr>
      </w:pPr>
      <w:hyperlink w:anchor="_Toc64016589" w:history="1">
        <w:r w:rsidR="00AB5F52" w:rsidRPr="00F05468">
          <w:rPr>
            <w:rStyle w:val="Hyperlink"/>
          </w:rPr>
          <w:t>Commonwealth policies and procedures</w:t>
        </w:r>
        <w:r w:rsidR="00AB5F52">
          <w:rPr>
            <w:webHidden/>
          </w:rPr>
          <w:tab/>
        </w:r>
        <w:r w:rsidR="00AB5F52">
          <w:rPr>
            <w:webHidden/>
          </w:rPr>
          <w:fldChar w:fldCharType="begin"/>
        </w:r>
        <w:r w:rsidR="00AB5F52">
          <w:rPr>
            <w:webHidden/>
          </w:rPr>
          <w:instrText xml:space="preserve"> PAGEREF _Toc64016589 \h </w:instrText>
        </w:r>
        <w:r w:rsidR="00AB5F52">
          <w:rPr>
            <w:webHidden/>
          </w:rPr>
        </w:r>
        <w:r w:rsidR="00AB5F52">
          <w:rPr>
            <w:webHidden/>
          </w:rPr>
          <w:fldChar w:fldCharType="separate"/>
        </w:r>
        <w:r w:rsidR="00AB5F52">
          <w:rPr>
            <w:webHidden/>
          </w:rPr>
          <w:t>13</w:t>
        </w:r>
        <w:r w:rsidR="00AB5F52">
          <w:rPr>
            <w:webHidden/>
          </w:rPr>
          <w:fldChar w:fldCharType="end"/>
        </w:r>
      </w:hyperlink>
    </w:p>
    <w:p w14:paraId="463BE641" w14:textId="79AD17EE" w:rsidR="00AB5F52" w:rsidRDefault="008813E2">
      <w:pPr>
        <w:pStyle w:val="TOC1"/>
        <w:rPr>
          <w:rFonts w:asciiTheme="minorHAnsi" w:eastAsiaTheme="minorEastAsia" w:hAnsiTheme="minorHAnsi" w:cstheme="minorBidi"/>
          <w:b w:val="0"/>
          <w:sz w:val="22"/>
          <w:szCs w:val="22"/>
          <w:lang w:eastAsia="en-AU"/>
        </w:rPr>
      </w:pPr>
      <w:hyperlink w:anchor="_Toc64016590" w:history="1">
        <w:r w:rsidR="00AB5F52" w:rsidRPr="00F05468">
          <w:rPr>
            <w:rStyle w:val="Hyperlink"/>
          </w:rPr>
          <w:t>Appendix 2: 2020-21 Metropolitan Health Infrastructure Fund – list of eligible services</w:t>
        </w:r>
        <w:r w:rsidR="00AB5F52">
          <w:rPr>
            <w:webHidden/>
          </w:rPr>
          <w:tab/>
        </w:r>
        <w:r w:rsidR="00AB5F52">
          <w:rPr>
            <w:webHidden/>
          </w:rPr>
          <w:fldChar w:fldCharType="begin"/>
        </w:r>
        <w:r w:rsidR="00AB5F52">
          <w:rPr>
            <w:webHidden/>
          </w:rPr>
          <w:instrText xml:space="preserve"> PAGEREF _Toc64016590 \h </w:instrText>
        </w:r>
        <w:r w:rsidR="00AB5F52">
          <w:rPr>
            <w:webHidden/>
          </w:rPr>
        </w:r>
        <w:r w:rsidR="00AB5F52">
          <w:rPr>
            <w:webHidden/>
          </w:rPr>
          <w:fldChar w:fldCharType="separate"/>
        </w:r>
        <w:r w:rsidR="00AB5F52">
          <w:rPr>
            <w:webHidden/>
          </w:rPr>
          <w:t>14</w:t>
        </w:r>
        <w:r w:rsidR="00AB5F52">
          <w:rPr>
            <w:webHidden/>
          </w:rPr>
          <w:fldChar w:fldCharType="end"/>
        </w:r>
      </w:hyperlink>
    </w:p>
    <w:p w14:paraId="02FD2994" w14:textId="55A02225" w:rsidR="00AB5F52" w:rsidRDefault="008813E2">
      <w:pPr>
        <w:pStyle w:val="TOC2"/>
        <w:rPr>
          <w:rFonts w:asciiTheme="minorHAnsi" w:eastAsiaTheme="minorEastAsia" w:hAnsiTheme="minorHAnsi" w:cstheme="minorBidi"/>
          <w:sz w:val="22"/>
          <w:szCs w:val="22"/>
          <w:lang w:eastAsia="en-AU"/>
        </w:rPr>
      </w:pPr>
      <w:hyperlink w:anchor="_Toc64016591" w:history="1">
        <w:r w:rsidR="00AB5F52" w:rsidRPr="00F05468">
          <w:rPr>
            <w:rStyle w:val="Hyperlink"/>
            <w:rFonts w:eastAsia="MS Gothic"/>
          </w:rPr>
          <w:t>Metropolitan health services</w:t>
        </w:r>
        <w:r w:rsidR="00AB5F52">
          <w:rPr>
            <w:webHidden/>
          </w:rPr>
          <w:tab/>
        </w:r>
        <w:r w:rsidR="00AB5F52">
          <w:rPr>
            <w:webHidden/>
          </w:rPr>
          <w:fldChar w:fldCharType="begin"/>
        </w:r>
        <w:r w:rsidR="00AB5F52">
          <w:rPr>
            <w:webHidden/>
          </w:rPr>
          <w:instrText xml:space="preserve"> PAGEREF _Toc64016591 \h </w:instrText>
        </w:r>
        <w:r w:rsidR="00AB5F52">
          <w:rPr>
            <w:webHidden/>
          </w:rPr>
        </w:r>
        <w:r w:rsidR="00AB5F52">
          <w:rPr>
            <w:webHidden/>
          </w:rPr>
          <w:fldChar w:fldCharType="separate"/>
        </w:r>
        <w:r w:rsidR="00AB5F52">
          <w:rPr>
            <w:webHidden/>
          </w:rPr>
          <w:t>14</w:t>
        </w:r>
        <w:r w:rsidR="00AB5F52">
          <w:rPr>
            <w:webHidden/>
          </w:rPr>
          <w:fldChar w:fldCharType="end"/>
        </w:r>
      </w:hyperlink>
    </w:p>
    <w:p w14:paraId="4530BDB3" w14:textId="13A81F73" w:rsidR="00AB5F52" w:rsidRDefault="008813E2">
      <w:pPr>
        <w:pStyle w:val="TOC2"/>
        <w:rPr>
          <w:rFonts w:asciiTheme="minorHAnsi" w:eastAsiaTheme="minorEastAsia" w:hAnsiTheme="minorHAnsi" w:cstheme="minorBidi"/>
          <w:sz w:val="22"/>
          <w:szCs w:val="22"/>
          <w:lang w:eastAsia="en-AU"/>
        </w:rPr>
      </w:pPr>
      <w:hyperlink w:anchor="_Toc64016592" w:history="1">
        <w:r w:rsidR="00AB5F52" w:rsidRPr="00F05468">
          <w:rPr>
            <w:rStyle w:val="Hyperlink"/>
            <w:rFonts w:eastAsia="MS Gothic"/>
          </w:rPr>
          <w:t>Metropolitan Aboriginal Community Controlled Health Organisations</w:t>
        </w:r>
        <w:r w:rsidR="00AB5F52">
          <w:rPr>
            <w:webHidden/>
          </w:rPr>
          <w:tab/>
        </w:r>
        <w:r w:rsidR="00AB5F52">
          <w:rPr>
            <w:webHidden/>
          </w:rPr>
          <w:fldChar w:fldCharType="begin"/>
        </w:r>
        <w:r w:rsidR="00AB5F52">
          <w:rPr>
            <w:webHidden/>
          </w:rPr>
          <w:instrText xml:space="preserve"> PAGEREF _Toc64016592 \h </w:instrText>
        </w:r>
        <w:r w:rsidR="00AB5F52">
          <w:rPr>
            <w:webHidden/>
          </w:rPr>
        </w:r>
        <w:r w:rsidR="00AB5F52">
          <w:rPr>
            <w:webHidden/>
          </w:rPr>
          <w:fldChar w:fldCharType="separate"/>
        </w:r>
        <w:r w:rsidR="00AB5F52">
          <w:rPr>
            <w:webHidden/>
          </w:rPr>
          <w:t>14</w:t>
        </w:r>
        <w:r w:rsidR="00AB5F52">
          <w:rPr>
            <w:webHidden/>
          </w:rPr>
          <w:fldChar w:fldCharType="end"/>
        </w:r>
      </w:hyperlink>
    </w:p>
    <w:p w14:paraId="79EA58F0" w14:textId="29246DCC" w:rsidR="00AB5F52" w:rsidRDefault="008813E2">
      <w:pPr>
        <w:pStyle w:val="TOC2"/>
        <w:rPr>
          <w:rFonts w:asciiTheme="minorHAnsi" w:eastAsiaTheme="minorEastAsia" w:hAnsiTheme="minorHAnsi" w:cstheme="minorBidi"/>
          <w:sz w:val="22"/>
          <w:szCs w:val="22"/>
          <w:lang w:eastAsia="en-AU"/>
        </w:rPr>
      </w:pPr>
      <w:hyperlink w:anchor="_Toc64016593" w:history="1">
        <w:r w:rsidR="00AB5F52" w:rsidRPr="00F05468">
          <w:rPr>
            <w:rStyle w:val="Hyperlink"/>
            <w:rFonts w:eastAsia="MS Gothic"/>
          </w:rPr>
          <w:t>Registered community health services</w:t>
        </w:r>
        <w:r w:rsidR="00AB5F52">
          <w:rPr>
            <w:webHidden/>
          </w:rPr>
          <w:tab/>
        </w:r>
        <w:r w:rsidR="00AB5F52">
          <w:rPr>
            <w:webHidden/>
          </w:rPr>
          <w:fldChar w:fldCharType="begin"/>
        </w:r>
        <w:r w:rsidR="00AB5F52">
          <w:rPr>
            <w:webHidden/>
          </w:rPr>
          <w:instrText xml:space="preserve"> PAGEREF _Toc64016593 \h </w:instrText>
        </w:r>
        <w:r w:rsidR="00AB5F52">
          <w:rPr>
            <w:webHidden/>
          </w:rPr>
        </w:r>
        <w:r w:rsidR="00AB5F52">
          <w:rPr>
            <w:webHidden/>
          </w:rPr>
          <w:fldChar w:fldCharType="separate"/>
        </w:r>
        <w:r w:rsidR="00AB5F52">
          <w:rPr>
            <w:webHidden/>
          </w:rPr>
          <w:t>14</w:t>
        </w:r>
        <w:r w:rsidR="00AB5F52">
          <w:rPr>
            <w:webHidden/>
          </w:rPr>
          <w:fldChar w:fldCharType="end"/>
        </w:r>
      </w:hyperlink>
    </w:p>
    <w:p w14:paraId="2E62E906" w14:textId="509EBC1C" w:rsidR="00AB5F52" w:rsidRDefault="008813E2">
      <w:pPr>
        <w:pStyle w:val="TOC2"/>
        <w:rPr>
          <w:rFonts w:asciiTheme="minorHAnsi" w:eastAsiaTheme="minorEastAsia" w:hAnsiTheme="minorHAnsi" w:cstheme="minorBidi"/>
          <w:sz w:val="22"/>
          <w:szCs w:val="22"/>
          <w:lang w:eastAsia="en-AU"/>
        </w:rPr>
      </w:pPr>
      <w:hyperlink w:anchor="_Toc64016594" w:history="1">
        <w:r w:rsidR="00AB5F52" w:rsidRPr="00F05468">
          <w:rPr>
            <w:rStyle w:val="Hyperlink"/>
            <w:rFonts w:eastAsia="MS Gothic"/>
          </w:rPr>
          <w:t>Youth residential rehabilitation</w:t>
        </w:r>
        <w:r w:rsidR="00AB5F52">
          <w:rPr>
            <w:webHidden/>
          </w:rPr>
          <w:tab/>
        </w:r>
        <w:r w:rsidR="00AB5F52">
          <w:rPr>
            <w:webHidden/>
          </w:rPr>
          <w:fldChar w:fldCharType="begin"/>
        </w:r>
        <w:r w:rsidR="00AB5F52">
          <w:rPr>
            <w:webHidden/>
          </w:rPr>
          <w:instrText xml:space="preserve"> PAGEREF _Toc64016594 \h </w:instrText>
        </w:r>
        <w:r w:rsidR="00AB5F52">
          <w:rPr>
            <w:webHidden/>
          </w:rPr>
        </w:r>
        <w:r w:rsidR="00AB5F52">
          <w:rPr>
            <w:webHidden/>
          </w:rPr>
          <w:fldChar w:fldCharType="separate"/>
        </w:r>
        <w:r w:rsidR="00AB5F52">
          <w:rPr>
            <w:webHidden/>
          </w:rPr>
          <w:t>15</w:t>
        </w:r>
        <w:r w:rsidR="00AB5F52">
          <w:rPr>
            <w:webHidden/>
          </w:rPr>
          <w:fldChar w:fldCharType="end"/>
        </w:r>
      </w:hyperlink>
    </w:p>
    <w:p w14:paraId="23924C25" w14:textId="060CFEC3" w:rsidR="00AB5F52" w:rsidRDefault="008813E2">
      <w:pPr>
        <w:pStyle w:val="TOC2"/>
        <w:rPr>
          <w:rFonts w:asciiTheme="minorHAnsi" w:eastAsiaTheme="minorEastAsia" w:hAnsiTheme="minorHAnsi" w:cstheme="minorBidi"/>
          <w:sz w:val="22"/>
          <w:szCs w:val="22"/>
          <w:lang w:eastAsia="en-AU"/>
        </w:rPr>
      </w:pPr>
      <w:hyperlink w:anchor="_Toc64016595" w:history="1">
        <w:r w:rsidR="00AB5F52" w:rsidRPr="00F05468">
          <w:rPr>
            <w:rStyle w:val="Hyperlink"/>
            <w:rFonts w:eastAsia="MS Gothic"/>
          </w:rPr>
          <w:t>Adult residential rehabilitation</w:t>
        </w:r>
        <w:r w:rsidR="00AB5F52">
          <w:rPr>
            <w:webHidden/>
          </w:rPr>
          <w:tab/>
        </w:r>
        <w:r w:rsidR="00AB5F52">
          <w:rPr>
            <w:webHidden/>
          </w:rPr>
          <w:fldChar w:fldCharType="begin"/>
        </w:r>
        <w:r w:rsidR="00AB5F52">
          <w:rPr>
            <w:webHidden/>
          </w:rPr>
          <w:instrText xml:space="preserve"> PAGEREF _Toc64016595 \h </w:instrText>
        </w:r>
        <w:r w:rsidR="00AB5F52">
          <w:rPr>
            <w:webHidden/>
          </w:rPr>
        </w:r>
        <w:r w:rsidR="00AB5F52">
          <w:rPr>
            <w:webHidden/>
          </w:rPr>
          <w:fldChar w:fldCharType="separate"/>
        </w:r>
        <w:r w:rsidR="00AB5F52">
          <w:rPr>
            <w:webHidden/>
          </w:rPr>
          <w:t>15</w:t>
        </w:r>
        <w:r w:rsidR="00AB5F52">
          <w:rPr>
            <w:webHidden/>
          </w:rPr>
          <w:fldChar w:fldCharType="end"/>
        </w:r>
      </w:hyperlink>
    </w:p>
    <w:p w14:paraId="3E7FED6D" w14:textId="6988A0E8" w:rsidR="00AB5F52" w:rsidRDefault="008813E2">
      <w:pPr>
        <w:pStyle w:val="TOC2"/>
        <w:rPr>
          <w:rFonts w:asciiTheme="minorHAnsi" w:eastAsiaTheme="minorEastAsia" w:hAnsiTheme="minorHAnsi" w:cstheme="minorBidi"/>
          <w:sz w:val="22"/>
          <w:szCs w:val="22"/>
          <w:lang w:eastAsia="en-AU"/>
        </w:rPr>
      </w:pPr>
      <w:hyperlink w:anchor="_Toc64016596" w:history="1">
        <w:r w:rsidR="00AB5F52" w:rsidRPr="00F05468">
          <w:rPr>
            <w:rStyle w:val="Hyperlink"/>
            <w:rFonts w:eastAsia="MS Gothic"/>
          </w:rPr>
          <w:t>Metropolitan community palliative care – NGO</w:t>
        </w:r>
        <w:r w:rsidR="00AB5F52">
          <w:rPr>
            <w:webHidden/>
          </w:rPr>
          <w:tab/>
        </w:r>
        <w:r w:rsidR="00AB5F52">
          <w:rPr>
            <w:webHidden/>
          </w:rPr>
          <w:fldChar w:fldCharType="begin"/>
        </w:r>
        <w:r w:rsidR="00AB5F52">
          <w:rPr>
            <w:webHidden/>
          </w:rPr>
          <w:instrText xml:space="preserve"> PAGEREF _Toc64016596 \h </w:instrText>
        </w:r>
        <w:r w:rsidR="00AB5F52">
          <w:rPr>
            <w:webHidden/>
          </w:rPr>
        </w:r>
        <w:r w:rsidR="00AB5F52">
          <w:rPr>
            <w:webHidden/>
          </w:rPr>
          <w:fldChar w:fldCharType="separate"/>
        </w:r>
        <w:r w:rsidR="00AB5F52">
          <w:rPr>
            <w:webHidden/>
          </w:rPr>
          <w:t>15</w:t>
        </w:r>
        <w:r w:rsidR="00AB5F52">
          <w:rPr>
            <w:webHidden/>
          </w:rPr>
          <w:fldChar w:fldCharType="end"/>
        </w:r>
      </w:hyperlink>
    </w:p>
    <w:p w14:paraId="4CC43B19" w14:textId="20065D79" w:rsidR="00AB5F52" w:rsidRDefault="008813E2">
      <w:pPr>
        <w:pStyle w:val="TOC2"/>
        <w:rPr>
          <w:rFonts w:asciiTheme="minorHAnsi" w:eastAsiaTheme="minorEastAsia" w:hAnsiTheme="minorHAnsi" w:cstheme="minorBidi"/>
          <w:sz w:val="22"/>
          <w:szCs w:val="22"/>
          <w:lang w:eastAsia="en-AU"/>
        </w:rPr>
      </w:pPr>
      <w:hyperlink w:anchor="_Toc64016597" w:history="1">
        <w:r w:rsidR="00AB5F52" w:rsidRPr="00F05468">
          <w:rPr>
            <w:rStyle w:val="Hyperlink"/>
            <w:rFonts w:eastAsia="MS Gothic"/>
          </w:rPr>
          <w:t>Metropolitan community palliative care - health service</w:t>
        </w:r>
        <w:r w:rsidR="00AB5F52">
          <w:rPr>
            <w:webHidden/>
          </w:rPr>
          <w:tab/>
        </w:r>
        <w:r w:rsidR="00AB5F52">
          <w:rPr>
            <w:webHidden/>
          </w:rPr>
          <w:fldChar w:fldCharType="begin"/>
        </w:r>
        <w:r w:rsidR="00AB5F52">
          <w:rPr>
            <w:webHidden/>
          </w:rPr>
          <w:instrText xml:space="preserve"> PAGEREF _Toc64016597 \h </w:instrText>
        </w:r>
        <w:r w:rsidR="00AB5F52">
          <w:rPr>
            <w:webHidden/>
          </w:rPr>
        </w:r>
        <w:r w:rsidR="00AB5F52">
          <w:rPr>
            <w:webHidden/>
          </w:rPr>
          <w:fldChar w:fldCharType="separate"/>
        </w:r>
        <w:r w:rsidR="00AB5F52">
          <w:rPr>
            <w:webHidden/>
          </w:rPr>
          <w:t>15</w:t>
        </w:r>
        <w:r w:rsidR="00AB5F52">
          <w:rPr>
            <w:webHidden/>
          </w:rPr>
          <w:fldChar w:fldCharType="end"/>
        </w:r>
      </w:hyperlink>
    </w:p>
    <w:p w14:paraId="11D88785" w14:textId="1F1C1962" w:rsidR="00CE7A69" w:rsidRDefault="00CE7A69" w:rsidP="00DD7A66">
      <w:pPr>
        <w:pStyle w:val="Heading1"/>
      </w:pPr>
      <w:r>
        <w:lastRenderedPageBreak/>
        <w:fldChar w:fldCharType="end"/>
      </w:r>
      <w:bookmarkStart w:id="0" w:name="_Toc64016565"/>
      <w:r>
        <w:t>Application link</w:t>
      </w:r>
      <w:bookmarkEnd w:id="0"/>
    </w:p>
    <w:p w14:paraId="3AD3C3CC" w14:textId="6526E4BD" w:rsidR="00CE7A69" w:rsidRPr="00297124" w:rsidRDefault="007D66EF" w:rsidP="00CE7A69">
      <w:pPr>
        <w:pStyle w:val="DHHSbody"/>
        <w:rPr>
          <w:rFonts w:ascii="Helvetica" w:hAnsi="Helvetica" w:cs="Helvetica"/>
          <w:color w:val="444444"/>
          <w:shd w:val="clear" w:color="auto" w:fill="FFFFFF"/>
        </w:rPr>
      </w:pPr>
      <w:r>
        <w:t xml:space="preserve">The link to the Metropolitan Health Infrastructure Fund application can be found </w:t>
      </w:r>
      <w:r w:rsidR="00DD7A66">
        <w:t xml:space="preserve">on </w:t>
      </w:r>
      <w:r>
        <w:t>the department’s website</w:t>
      </w:r>
      <w:r w:rsidR="00DD7A66">
        <w:t xml:space="preserve"> </w:t>
      </w:r>
      <w:hyperlink r:id="rId17" w:history="1">
        <w:r w:rsidR="00DD7A66" w:rsidRPr="0028334D">
          <w:rPr>
            <w:rStyle w:val="Hyperlink"/>
          </w:rPr>
          <w:t>SmartyGrants page</w:t>
        </w:r>
      </w:hyperlink>
      <w:r w:rsidRPr="007D66EF">
        <w:t xml:space="preserve"> </w:t>
      </w:r>
      <w:r>
        <w:t>&lt;</w:t>
      </w:r>
      <w:r w:rsidRPr="007D66EF">
        <w:t>https://dhhs.smartygrants.com.au/MHIF</w:t>
      </w:r>
      <w:r>
        <w:t xml:space="preserve">&gt; </w:t>
      </w:r>
      <w:hyperlink w:history="1"/>
    </w:p>
    <w:p w14:paraId="690B31B6" w14:textId="77777777" w:rsidR="00CE7A69" w:rsidRDefault="00CE7A69" w:rsidP="00CE7A69">
      <w:pPr>
        <w:pStyle w:val="Heading1"/>
      </w:pPr>
      <w:bookmarkStart w:id="1" w:name="_Toc64016566"/>
      <w:r>
        <w:t>Timeline</w:t>
      </w:r>
      <w:bookmarkEnd w:id="1"/>
    </w:p>
    <w:p w14:paraId="6D7F13B1" w14:textId="678C71B1" w:rsidR="00CE7A69" w:rsidRDefault="00CE7A69" w:rsidP="00CE7A69">
      <w:pPr>
        <w:pStyle w:val="VHHSBAbody"/>
      </w:pPr>
      <w:r w:rsidRPr="00CE7A69">
        <w:rPr>
          <w:rStyle w:val="Strong"/>
        </w:rPr>
        <w:t>Applications open:</w:t>
      </w:r>
      <w:r>
        <w:t xml:space="preserve"> 9.00 am, Thursday 11 February 2021</w:t>
      </w:r>
    </w:p>
    <w:p w14:paraId="3F2361D1" w14:textId="64CEBDED" w:rsidR="00CE7A69" w:rsidRDefault="00CE7A69" w:rsidP="00CE7A69">
      <w:pPr>
        <w:pStyle w:val="VHHSBAbody"/>
      </w:pPr>
      <w:r w:rsidRPr="00CE7A69">
        <w:rPr>
          <w:rStyle w:val="Strong"/>
        </w:rPr>
        <w:t>Applications close:</w:t>
      </w:r>
      <w:r>
        <w:t xml:space="preserve"> 5.00 pm, Wednesday 31 March 2021</w:t>
      </w:r>
    </w:p>
    <w:p w14:paraId="4B6C53C9" w14:textId="77777777" w:rsidR="00CE7A69" w:rsidRDefault="00CE7A69" w:rsidP="00CE7A69">
      <w:pPr>
        <w:pStyle w:val="Heading1"/>
      </w:pPr>
      <w:bookmarkStart w:id="2" w:name="_Toc64016567"/>
      <w:r>
        <w:t>Purpose</w:t>
      </w:r>
      <w:bookmarkEnd w:id="2"/>
    </w:p>
    <w:p w14:paraId="15D71D17" w14:textId="0305F41C" w:rsidR="00CE7A69" w:rsidRDefault="00CE7A69" w:rsidP="00CE7A69">
      <w:pPr>
        <w:pStyle w:val="VHHSBAbody"/>
      </w:pPr>
      <w:r>
        <w:t>In 2020 the Victorian Government established the Metropolitan Health Infrastructure Fund (the Fund) providing $200 million to improve service capacity, service efficiency and the ability to deliver contemporary models of care within the metropolitan health sector through minor capital grants. The investment will enable agencies to replace, reconfigure and expand critical service demand to ensure continuity of services for acute, sub-acute, community palliative care services, community health and Aboriginal Community Controlled</w:t>
      </w:r>
      <w:r w:rsidR="00D67AF2">
        <w:t xml:space="preserve"> Health</w:t>
      </w:r>
      <w:r>
        <w:t xml:space="preserve"> Organisations</w:t>
      </w:r>
      <w:r w:rsidR="007D66EF">
        <w:t xml:space="preserve"> (ACC</w:t>
      </w:r>
      <w:r w:rsidR="00D67AF2">
        <w:t>H</w:t>
      </w:r>
      <w:r w:rsidR="007D66EF">
        <w:t>Os)</w:t>
      </w:r>
      <w:r>
        <w:t xml:space="preserve"> and assist economic recovery. </w:t>
      </w:r>
    </w:p>
    <w:p w14:paraId="6F38AEA7" w14:textId="707D2EC2" w:rsidR="00CE7A69" w:rsidRDefault="00CE7A69" w:rsidP="00DD7A66">
      <w:pPr>
        <w:pStyle w:val="VHHSBAbody"/>
      </w:pPr>
      <w:r>
        <w:t xml:space="preserve">The key objectives of the </w:t>
      </w:r>
      <w:r w:rsidR="00DD7A66">
        <w:t xml:space="preserve">2020-21 Metropolitan Health Infrastructure </w:t>
      </w:r>
      <w:r>
        <w:t>Fund are to assist metropolitan health services to:</w:t>
      </w:r>
    </w:p>
    <w:p w14:paraId="6C912364" w14:textId="1C75A867" w:rsidR="00CE7A69" w:rsidRPr="00CE7A69" w:rsidRDefault="00CE7A69" w:rsidP="00CE7A69">
      <w:pPr>
        <w:pStyle w:val="DHHSbullet1"/>
      </w:pPr>
      <w:r w:rsidRPr="00CE7A69">
        <w:t xml:space="preserve">mitigate infrastructure risk and service interruptions/failures related to assets </w:t>
      </w:r>
    </w:p>
    <w:p w14:paraId="1707B4BB" w14:textId="32D03757" w:rsidR="00CE7A69" w:rsidRPr="00CE7A69" w:rsidRDefault="00CE7A69" w:rsidP="00CE7A69">
      <w:pPr>
        <w:pStyle w:val="DHHSbullet1"/>
      </w:pPr>
      <w:r w:rsidRPr="00CE7A69">
        <w:t>enhance service capacity, support contemporary models of care and improve patient and staff amenity</w:t>
      </w:r>
    </w:p>
    <w:p w14:paraId="1DAD3816" w14:textId="3147D627" w:rsidR="00CE7A69" w:rsidRPr="00CE7A69" w:rsidRDefault="00CE7A69" w:rsidP="00CE7A69">
      <w:pPr>
        <w:pStyle w:val="DHHSbullet1"/>
      </w:pPr>
      <w:r w:rsidRPr="00CE7A69">
        <w:t>sustain and improve infrastructure assets that provide essential capacity for delivering responsive and appropriate clinical services across metropolitan public health facilities</w:t>
      </w:r>
    </w:p>
    <w:p w14:paraId="194D68C7" w14:textId="19168C04" w:rsidR="00CE7A69" w:rsidRPr="00CE7A69" w:rsidRDefault="00CE7A69" w:rsidP="00CE7A69">
      <w:pPr>
        <w:pStyle w:val="DHHSbullet1"/>
      </w:pPr>
      <w:r w:rsidRPr="00CE7A69">
        <w:t xml:space="preserve">minimise whole-of-system risks </w:t>
      </w:r>
    </w:p>
    <w:p w14:paraId="49B96A64" w14:textId="658D61B8" w:rsidR="00CE7A69" w:rsidRPr="00CE7A69" w:rsidRDefault="00CE7A69" w:rsidP="00CE7A69">
      <w:pPr>
        <w:pStyle w:val="DHHSbullet1"/>
      </w:pPr>
      <w:r w:rsidRPr="00CE7A69">
        <w:t>further incentivise health services and agencies to implement effective asset management that aligns with existing government frameworks and policies.</w:t>
      </w:r>
      <w:bookmarkStart w:id="3" w:name="_Hlk56500246"/>
    </w:p>
    <w:p w14:paraId="69335ED5" w14:textId="77777777" w:rsidR="00CE7A69" w:rsidRDefault="00CE7A69" w:rsidP="00CE7A69">
      <w:pPr>
        <w:pStyle w:val="Heading1"/>
      </w:pPr>
      <w:bookmarkStart w:id="4" w:name="_Toc64016568"/>
      <w:bookmarkStart w:id="5" w:name="_Hlk17902035"/>
      <w:bookmarkEnd w:id="3"/>
      <w:r>
        <w:t>Principles</w:t>
      </w:r>
      <w:bookmarkEnd w:id="4"/>
    </w:p>
    <w:p w14:paraId="72CA0FC8" w14:textId="5EFB6E85" w:rsidR="00CE7A69" w:rsidRDefault="00CE7A69" w:rsidP="00CE7A69">
      <w:pPr>
        <w:pStyle w:val="DHHSbody"/>
      </w:pPr>
      <w:r>
        <w:t>The Fund will assist metropolitan health services and agencies to improve safety and quality of services, service capacity, models of service delivery, patient and staff amenity, service efficiencies and meet compliance obligations.</w:t>
      </w:r>
    </w:p>
    <w:p w14:paraId="365C42D2" w14:textId="1BC55DE6" w:rsidR="00CE7A69" w:rsidRDefault="00CE7A69" w:rsidP="00CE7A69">
      <w:pPr>
        <w:pStyle w:val="DHHSbody"/>
      </w:pPr>
      <w:r>
        <w:t xml:space="preserve">The Fund aligns with the Department of Treasury and Finance and the Victorian Health and Human Services </w:t>
      </w:r>
      <w:r w:rsidR="00DD7A66">
        <w:t xml:space="preserve">Building Authority </w:t>
      </w:r>
      <w:r>
        <w:t>asset management frameworks and asset management policies, principles and practice, available at the following links:</w:t>
      </w:r>
    </w:p>
    <w:p w14:paraId="108F0511" w14:textId="77777777" w:rsidR="00CE7A69" w:rsidRDefault="008813E2" w:rsidP="00DD7A66">
      <w:pPr>
        <w:pStyle w:val="DHHSbullet1"/>
        <w:rPr>
          <w:rStyle w:val="Hyperlink"/>
        </w:rPr>
      </w:pPr>
      <w:hyperlink r:id="rId18" w:history="1">
        <w:r w:rsidR="00CE7A69">
          <w:rPr>
            <w:rStyle w:val="Hyperlink"/>
          </w:rPr>
          <w:t>Asset Management Accountability Framework</w:t>
        </w:r>
      </w:hyperlink>
      <w:r w:rsidR="00CE7A69">
        <w:t xml:space="preserve"> &lt;</w:t>
      </w:r>
      <w:r w:rsidR="00CE7A69" w:rsidRPr="00CE7A69">
        <w:t>https://www.dtf.vic.gov.au/infrastructure-investment/asset-management-accountability-framework</w:t>
      </w:r>
      <w:r w:rsidR="00CE7A69">
        <w:t xml:space="preserve">&gt; </w:t>
      </w:r>
      <w:bookmarkStart w:id="6" w:name="_Hlk61600571"/>
    </w:p>
    <w:p w14:paraId="683B64CE" w14:textId="5150D4DE" w:rsidR="00CE7A69" w:rsidRPr="0028334D" w:rsidRDefault="008813E2" w:rsidP="00DD7A66">
      <w:pPr>
        <w:pStyle w:val="DHHSbullet1"/>
        <w:rPr>
          <w:rStyle w:val="Hyperlink"/>
        </w:rPr>
      </w:pPr>
      <w:hyperlink r:id="rId19" w:history="1">
        <w:r w:rsidR="00CE7A69" w:rsidRPr="0028334D">
          <w:rPr>
            <w:rStyle w:val="Hyperlink"/>
          </w:rPr>
          <w:t>VHHSBA Asset Management Polic</w:t>
        </w:r>
        <w:r w:rsidR="0028334D" w:rsidRPr="0028334D">
          <w:rPr>
            <w:rStyle w:val="Hyperlink"/>
          </w:rPr>
          <w:t>y</w:t>
        </w:r>
        <w:bookmarkEnd w:id="6"/>
      </w:hyperlink>
      <w:r w:rsidR="0028334D" w:rsidRPr="0028334D">
        <w:t xml:space="preserve"> </w:t>
      </w:r>
      <w:r w:rsidR="00CE7A69" w:rsidRPr="0028334D">
        <w:rPr>
          <w:rStyle w:val="Hyperlink"/>
          <w:color w:val="auto"/>
          <w:u w:val="none"/>
        </w:rPr>
        <w:t>&lt;</w:t>
      </w:r>
      <w:r w:rsidR="00CE7A69" w:rsidRPr="0028334D">
        <w:t xml:space="preserve">https://www.vhhsba.vic.gov.au/resources/asset-management&gt; </w:t>
      </w:r>
    </w:p>
    <w:p w14:paraId="1C893663" w14:textId="21897007" w:rsidR="00CE7A69" w:rsidRPr="007D66EF" w:rsidRDefault="00CE7A69" w:rsidP="00DD7A66">
      <w:pPr>
        <w:pStyle w:val="DHHSbodyafterbullets"/>
      </w:pPr>
      <w:r w:rsidRPr="007D66EF">
        <w:t>The intent of the government’s asset management policy is to achieve service delivery objectives and create an obligation for both the department (from a system perspective) and health services (from a local perspective).</w:t>
      </w:r>
    </w:p>
    <w:p w14:paraId="56F83F44" w14:textId="77777777" w:rsidR="00CE7A69" w:rsidRPr="007D66EF" w:rsidRDefault="00CE7A69" w:rsidP="00DD7A66">
      <w:pPr>
        <w:pStyle w:val="DHHSbody"/>
      </w:pPr>
      <w:r w:rsidRPr="007D66EF">
        <w:t>Asset management is a whole-of-asset-lifecycle obligation requiring an understanding of need, capacity, condition, opportunity and risk to drive value-for-money service outcomes.</w:t>
      </w:r>
    </w:p>
    <w:p w14:paraId="0CA0029A" w14:textId="77777777" w:rsidR="00CE7A69" w:rsidRDefault="00CE7A69" w:rsidP="00DD7A66">
      <w:pPr>
        <w:pStyle w:val="DHHSbody"/>
      </w:pPr>
      <w:r w:rsidRPr="007D66EF">
        <w:t>Appropriate local and central governance arrangements oversee asset planning, investment prioritisation of in-</w:t>
      </w:r>
      <w:r>
        <w:t>scope items on the basis of risk and, in the case of health services, oversee the replacement process.</w:t>
      </w:r>
    </w:p>
    <w:p w14:paraId="71907AD3" w14:textId="77777777" w:rsidR="00CE7A69" w:rsidRDefault="00CE7A69" w:rsidP="00DD7A66">
      <w:pPr>
        <w:pStyle w:val="DHHSbody"/>
      </w:pPr>
      <w:r>
        <w:lastRenderedPageBreak/>
        <w:t>Accurate and timely reporting of expenditure enables analysis of future investment needs, reporting to government on expenditure consistent with the defined purpose of the funding provision, and provides a robust information base for program audit.</w:t>
      </w:r>
    </w:p>
    <w:p w14:paraId="4EC4E949" w14:textId="60724B26" w:rsidR="00CE7A69" w:rsidRDefault="00CE7A69" w:rsidP="00DD7A66">
      <w:pPr>
        <w:pStyle w:val="DHHSbody"/>
      </w:pPr>
      <w:r>
        <w:t>Health service</w:t>
      </w:r>
      <w:r w:rsidR="007D66EF">
        <w:t>s</w:t>
      </w:r>
      <w:r w:rsidR="00864A95">
        <w:t>’</w:t>
      </w:r>
      <w:r w:rsidR="007D66EF">
        <w:t xml:space="preserve"> </w:t>
      </w:r>
      <w:r>
        <w:t>and agenc</w:t>
      </w:r>
      <w:r w:rsidR="00864A95">
        <w:t>ies’</w:t>
      </w:r>
      <w:r>
        <w:t xml:space="preserve"> asset replacement determination needs to be based on departmental frameworks and guidelines for prioritisation, risk management and service planning, as well as the service’s role within the health system.</w:t>
      </w:r>
    </w:p>
    <w:p w14:paraId="73368070" w14:textId="0C1D0FC7" w:rsidR="00CE7A69" w:rsidRDefault="00CE7A69" w:rsidP="00CE7A69">
      <w:pPr>
        <w:pStyle w:val="Heading1"/>
      </w:pPr>
      <w:bookmarkStart w:id="7" w:name="_Toc64016569"/>
      <w:r>
        <w:t xml:space="preserve">General </w:t>
      </w:r>
      <w:r w:rsidR="00297124">
        <w:t>eligibility criteria</w:t>
      </w:r>
      <w:bookmarkEnd w:id="7"/>
    </w:p>
    <w:p w14:paraId="0CEA509C" w14:textId="482C73C3" w:rsidR="00CE7A69" w:rsidRDefault="00CE7A69" w:rsidP="00297124">
      <w:pPr>
        <w:pStyle w:val="VHHSBAbody"/>
      </w:pPr>
      <w:r>
        <w:t>Funding is available to Victorian metropolitan health services and agencies including acute health, sub-acute (rehabilitation care), community palliative care services, mental health, public residential aged care, primary and community health, registered community health services and Aboriginal Community Controlled Health Organisations</w:t>
      </w:r>
      <w:r w:rsidR="007D66EF">
        <w:t>.</w:t>
      </w:r>
    </w:p>
    <w:p w14:paraId="14233755" w14:textId="1BB9DECD" w:rsidR="00CE7A69" w:rsidRDefault="00CE7A69" w:rsidP="00297124">
      <w:pPr>
        <w:pStyle w:val="VHHSBAbody"/>
      </w:pPr>
      <w:r>
        <w:t xml:space="preserve">Eligible </w:t>
      </w:r>
      <w:r w:rsidR="007D66EF">
        <w:t>s</w:t>
      </w:r>
      <w:r>
        <w:t>ervices are listed in Appendix 2.</w:t>
      </w:r>
    </w:p>
    <w:p w14:paraId="260E765F" w14:textId="59BA4520" w:rsidR="00CE7A69" w:rsidRDefault="00CE7A69" w:rsidP="00DD482C">
      <w:pPr>
        <w:pStyle w:val="Heading2"/>
        <w:rPr>
          <w:bCs/>
        </w:rPr>
      </w:pPr>
      <w:bookmarkStart w:id="8" w:name="_Toc59707882"/>
      <w:bookmarkStart w:id="9" w:name="_Toc64016570"/>
      <w:r>
        <w:t xml:space="preserve">For </w:t>
      </w:r>
      <w:r w:rsidR="00297124">
        <w:t>eligible ag</w:t>
      </w:r>
      <w:r>
        <w:t>encies</w:t>
      </w:r>
      <w:bookmarkEnd w:id="8"/>
      <w:bookmarkEnd w:id="9"/>
    </w:p>
    <w:p w14:paraId="13DFE0B9" w14:textId="4ED5DCDC" w:rsidR="00CE7A69" w:rsidRDefault="00CE7A69" w:rsidP="00CE7A69">
      <w:pPr>
        <w:pStyle w:val="DHHSbody"/>
        <w:rPr>
          <w:rFonts w:cs="Arial"/>
        </w:rPr>
      </w:pPr>
      <w:bookmarkStart w:id="10" w:name="_Hlk63868063"/>
      <w:r>
        <w:rPr>
          <w:rFonts w:cs="Arial"/>
        </w:rPr>
        <w:t xml:space="preserve">Each </w:t>
      </w:r>
      <w:r w:rsidR="007F0F3F">
        <w:rPr>
          <w:rFonts w:cs="Arial"/>
        </w:rPr>
        <w:t xml:space="preserve">Metropolitan health service </w:t>
      </w:r>
      <w:r>
        <w:rPr>
          <w:rFonts w:cs="Arial"/>
        </w:rPr>
        <w:t xml:space="preserve">is limited to two </w:t>
      </w:r>
      <w:r w:rsidR="007D66EF">
        <w:rPr>
          <w:rFonts w:cs="Arial"/>
        </w:rPr>
        <w:t xml:space="preserve">(2) </w:t>
      </w:r>
      <w:r>
        <w:rPr>
          <w:rFonts w:cs="Arial"/>
        </w:rPr>
        <w:t xml:space="preserve">submissions </w:t>
      </w:r>
      <w:r w:rsidR="007F0F3F">
        <w:rPr>
          <w:rFonts w:cs="Arial"/>
        </w:rPr>
        <w:t>per hospital facility/campus.  For all other eligible health</w:t>
      </w:r>
      <w:r w:rsidR="0015386C">
        <w:rPr>
          <w:rFonts w:cs="Arial"/>
        </w:rPr>
        <w:t xml:space="preserve"> services </w:t>
      </w:r>
      <w:r w:rsidR="007F0F3F">
        <w:rPr>
          <w:rFonts w:cs="Arial"/>
        </w:rPr>
        <w:t>two</w:t>
      </w:r>
      <w:r w:rsidR="007D66EF">
        <w:rPr>
          <w:rFonts w:cs="Arial"/>
        </w:rPr>
        <w:t xml:space="preserve"> </w:t>
      </w:r>
      <w:r>
        <w:rPr>
          <w:rFonts w:cs="Arial"/>
        </w:rPr>
        <w:t>submission</w:t>
      </w:r>
      <w:r w:rsidR="007F0F3F">
        <w:rPr>
          <w:rFonts w:cs="Arial"/>
        </w:rPr>
        <w:t>s</w:t>
      </w:r>
      <w:r>
        <w:rPr>
          <w:rFonts w:cs="Arial"/>
        </w:rPr>
        <w:t xml:space="preserve"> </w:t>
      </w:r>
      <w:r w:rsidR="007F0F3F">
        <w:rPr>
          <w:rFonts w:cs="Arial"/>
        </w:rPr>
        <w:t>are</w:t>
      </w:r>
      <w:r>
        <w:rPr>
          <w:rFonts w:cs="Arial"/>
        </w:rPr>
        <w:t xml:space="preserve"> allowed.</w:t>
      </w:r>
      <w:bookmarkEnd w:id="10"/>
      <w:r>
        <w:rPr>
          <w:rFonts w:cs="Arial"/>
        </w:rPr>
        <w:t xml:space="preserve"> If more than one submission is made, a priority order (Priority 1 or Priority 2) must be assigned to each submission.  This strict requirement is necessitated by the almost certain scenario that the Fund will be significantly oversubscribed and only a limited number of applications will be able to be funded. </w:t>
      </w:r>
    </w:p>
    <w:p w14:paraId="0EBCD441" w14:textId="77777777" w:rsidR="00CE7A69" w:rsidRDefault="00CE7A69" w:rsidP="00CE7A69">
      <w:pPr>
        <w:pStyle w:val="DHHSbody"/>
      </w:pPr>
      <w:r>
        <w:t xml:space="preserve">Funds are available for: </w:t>
      </w:r>
    </w:p>
    <w:p w14:paraId="7D277A2E" w14:textId="77777777" w:rsidR="00CE7A69" w:rsidRPr="007D66EF" w:rsidRDefault="00CE7A69" w:rsidP="007D66EF">
      <w:pPr>
        <w:pStyle w:val="DHHSbullet1"/>
      </w:pPr>
      <w:r w:rsidRPr="007D66EF">
        <w:t>Construction: minor infrastructure including replacement, reconfiguration, remodelling and refurbishment projects to address aged building fabric, compliance and demand issues</w:t>
      </w:r>
    </w:p>
    <w:p w14:paraId="6E873C3B" w14:textId="7634FD48" w:rsidR="00CE7A69" w:rsidRPr="007D66EF" w:rsidRDefault="00CE7A69" w:rsidP="007D66EF">
      <w:pPr>
        <w:pStyle w:val="DHHSbullet1"/>
      </w:pPr>
      <w:r w:rsidRPr="007D66EF">
        <w:t>Non</w:t>
      </w:r>
      <w:r w:rsidR="007D66EF">
        <w:t>-</w:t>
      </w:r>
      <w:r w:rsidRPr="007D66EF">
        <w:t>construction: equipment (standalone furniture, fittings, medical equipment, engineering infrastructure and plant)</w:t>
      </w:r>
    </w:p>
    <w:p w14:paraId="551E97A5" w14:textId="77777777" w:rsidR="00CE7A69" w:rsidRPr="007D66EF" w:rsidRDefault="00CE7A69" w:rsidP="007D66EF">
      <w:pPr>
        <w:pStyle w:val="DHHSbullet1"/>
      </w:pPr>
      <w:r w:rsidRPr="007D66EF">
        <w:t>Information and communications technology and new technologies including systems to reduce usage and increase efficiencies of power and/or water</w:t>
      </w:r>
    </w:p>
    <w:p w14:paraId="11AC8AA8" w14:textId="1E38B744" w:rsidR="00CE7A69" w:rsidRPr="00BE2DC8" w:rsidRDefault="00CE7A69" w:rsidP="007D66EF">
      <w:pPr>
        <w:pStyle w:val="DHHSbullet1"/>
      </w:pPr>
      <w:r w:rsidRPr="00BE2DC8">
        <w:t>Compliance related capital and/or upgrade works (</w:t>
      </w:r>
      <w:r w:rsidR="00297124" w:rsidRPr="00BE2DC8">
        <w:t>e.g.</w:t>
      </w:r>
      <w:r w:rsidRPr="00BE2DC8">
        <w:t xml:space="preserve"> AS4187</w:t>
      </w:r>
      <w:r w:rsidR="00407AA6" w:rsidRPr="00BE2DC8">
        <w:t xml:space="preserve"> including pandemic improvement / readiness</w:t>
      </w:r>
      <w:r w:rsidRPr="00BE2DC8">
        <w:t>, Fire</w:t>
      </w:r>
      <w:r w:rsidR="00407AA6" w:rsidRPr="00BE2DC8">
        <w:t xml:space="preserve"> and</w:t>
      </w:r>
      <w:r w:rsidRPr="00BE2DC8">
        <w:t xml:space="preserve"> life safety works)</w:t>
      </w:r>
      <w:r w:rsidR="007D66EF" w:rsidRPr="00BE2DC8">
        <w:t>.</w:t>
      </w:r>
    </w:p>
    <w:p w14:paraId="23501039" w14:textId="77777777" w:rsidR="00CE7A69" w:rsidRPr="00BE2DC8" w:rsidRDefault="00CE7A69" w:rsidP="00B70F50">
      <w:pPr>
        <w:pStyle w:val="DHHSbodyafterbullets"/>
      </w:pPr>
      <w:r w:rsidRPr="00BE2DC8">
        <w:t>Priority will be given to applications that address:</w:t>
      </w:r>
    </w:p>
    <w:p w14:paraId="1303E1C0" w14:textId="77777777" w:rsidR="00407AA6" w:rsidRPr="00BE2DC8" w:rsidRDefault="00407AA6" w:rsidP="00407AA6">
      <w:pPr>
        <w:pStyle w:val="DHHSbullet1"/>
      </w:pPr>
      <w:r w:rsidRPr="00BE2DC8">
        <w:t>infection prevention and control</w:t>
      </w:r>
    </w:p>
    <w:p w14:paraId="518B0F3B" w14:textId="77777777" w:rsidR="00CE7A69" w:rsidRPr="00BE2DC8" w:rsidRDefault="00CE7A69" w:rsidP="007D66EF">
      <w:pPr>
        <w:pStyle w:val="DHHSbullet1"/>
      </w:pPr>
      <w:r w:rsidRPr="00BE2DC8">
        <w:t>fire safety</w:t>
      </w:r>
    </w:p>
    <w:p w14:paraId="0D662D40" w14:textId="77777777" w:rsidR="00CE7A69" w:rsidRPr="00BE2DC8" w:rsidRDefault="00CE7A69" w:rsidP="007D66EF">
      <w:pPr>
        <w:pStyle w:val="DHHSbullet1"/>
      </w:pPr>
      <w:r w:rsidRPr="00BE2DC8">
        <w:t>minor medical equipment</w:t>
      </w:r>
    </w:p>
    <w:p w14:paraId="23E29D5C" w14:textId="77777777" w:rsidR="00CE7A69" w:rsidRPr="007D66EF" w:rsidRDefault="00CE7A69" w:rsidP="007D66EF">
      <w:pPr>
        <w:pStyle w:val="DHHSbullet1"/>
      </w:pPr>
      <w:r w:rsidRPr="007D66EF">
        <w:t xml:space="preserve">healthcare worker safety </w:t>
      </w:r>
    </w:p>
    <w:p w14:paraId="47BB933C" w14:textId="77777777" w:rsidR="00CE7A69" w:rsidRPr="007D66EF" w:rsidRDefault="00CE7A69" w:rsidP="007D66EF">
      <w:pPr>
        <w:pStyle w:val="DHHSbullet1"/>
      </w:pPr>
      <w:r w:rsidRPr="007D66EF">
        <w:t>construction works</w:t>
      </w:r>
    </w:p>
    <w:p w14:paraId="020C4336" w14:textId="6FCC4FAC" w:rsidR="00CE7A69" w:rsidRPr="007D66EF" w:rsidRDefault="007D66EF" w:rsidP="007D66EF">
      <w:pPr>
        <w:pStyle w:val="DHHSbullet1"/>
      </w:pPr>
      <w:r w:rsidRPr="007D66EF">
        <w:t xml:space="preserve">community health services </w:t>
      </w:r>
    </w:p>
    <w:p w14:paraId="2B7B1D00" w14:textId="77777777" w:rsidR="00CE7A69" w:rsidRPr="007D66EF" w:rsidRDefault="00CE7A69" w:rsidP="007D66EF">
      <w:pPr>
        <w:pStyle w:val="DHHSbullet1"/>
      </w:pPr>
      <w:r w:rsidRPr="007D66EF">
        <w:t>Aboriginal Community Controlled Health Organisations (ACCHOs).</w:t>
      </w:r>
    </w:p>
    <w:p w14:paraId="2D144D30" w14:textId="77777777" w:rsidR="00CE7A69" w:rsidRDefault="00CE7A69" w:rsidP="007D66EF">
      <w:pPr>
        <w:pStyle w:val="DHHSbodyafterbullets"/>
      </w:pPr>
      <w:r>
        <w:t>The following are examples of items which may be included in funding applications:</w:t>
      </w:r>
    </w:p>
    <w:p w14:paraId="7EE20027" w14:textId="77777777" w:rsidR="00CE7A69" w:rsidRDefault="00CE7A69" w:rsidP="00297124">
      <w:pPr>
        <w:pStyle w:val="Heading3"/>
      </w:pPr>
      <w:r>
        <w:t>Fire safety</w:t>
      </w:r>
    </w:p>
    <w:p w14:paraId="3F2CD094" w14:textId="08A334C6" w:rsidR="00CE7A69" w:rsidRDefault="00CE7A69" w:rsidP="00CE7A69">
      <w:pPr>
        <w:pStyle w:val="DHHSbullet1"/>
        <w:numPr>
          <w:ilvl w:val="0"/>
          <w:numId w:val="34"/>
        </w:numPr>
        <w:ind w:left="284" w:hanging="284"/>
      </w:pPr>
      <w:r>
        <w:t xml:space="preserve">Fire </w:t>
      </w:r>
      <w:r w:rsidR="007D66EF" w:rsidRPr="007D66EF">
        <w:t xml:space="preserve">safety compliance </w:t>
      </w:r>
      <w:r>
        <w:t>upgrades and the completion of outstanding fire safety works; items such as fire suppression systems, fire storage tanks, fire pump sets, requirement to have sprinkler heads over the doorways of each patient room</w:t>
      </w:r>
      <w:r w:rsidR="007D66EF">
        <w:t>.</w:t>
      </w:r>
    </w:p>
    <w:p w14:paraId="354A93B6" w14:textId="77777777" w:rsidR="00CE7A69" w:rsidRDefault="00CE7A69" w:rsidP="00297124">
      <w:pPr>
        <w:pStyle w:val="Heading3"/>
      </w:pPr>
      <w:r>
        <w:lastRenderedPageBreak/>
        <w:t>Infection prevention and control</w:t>
      </w:r>
    </w:p>
    <w:p w14:paraId="09116DB6" w14:textId="076802B7" w:rsidR="00CE7A69" w:rsidRDefault="00CE7A69" w:rsidP="00CE7A69">
      <w:pPr>
        <w:pStyle w:val="DHHSbullet1"/>
        <w:numPr>
          <w:ilvl w:val="0"/>
          <w:numId w:val="34"/>
        </w:numPr>
        <w:ind w:left="284" w:hanging="284"/>
      </w:pPr>
      <w:r>
        <w:t xml:space="preserve">Compliance with AS4187 </w:t>
      </w:r>
      <w:r w:rsidRPr="007D66EF">
        <w:rPr>
          <w:i/>
          <w:iCs/>
        </w:rPr>
        <w:t>Reprocessing of Reusable Medical Devices in Health Service Organisations</w:t>
      </w:r>
      <w:r>
        <w:t xml:space="preserve"> including cleaning, disinfecting and sterili</w:t>
      </w:r>
      <w:r w:rsidR="003D0A65">
        <w:t>s</w:t>
      </w:r>
      <w:r>
        <w:t xml:space="preserve">ing reusable medical and surgical instruments and equipment, and maintenance of associated environments in health care facilities, upgrades to </w:t>
      </w:r>
      <w:r w:rsidR="007D66EF">
        <w:t xml:space="preserve">central sterile services departments </w:t>
      </w:r>
      <w:r>
        <w:t>(CSSD</w:t>
      </w:r>
      <w:r w:rsidR="007D66EF">
        <w:t>s</w:t>
      </w:r>
      <w:r>
        <w:t>)</w:t>
      </w:r>
      <w:r w:rsidR="007D66EF">
        <w:t>.</w:t>
      </w:r>
    </w:p>
    <w:p w14:paraId="7CAA8241" w14:textId="2281CB76" w:rsidR="00CE7A69" w:rsidRDefault="00CE7A69" w:rsidP="00CE7A69">
      <w:pPr>
        <w:pStyle w:val="DHHSbullet1"/>
        <w:numPr>
          <w:ilvl w:val="0"/>
          <w:numId w:val="34"/>
        </w:numPr>
        <w:ind w:left="284" w:hanging="284"/>
      </w:pPr>
      <w:r>
        <w:t xml:space="preserve">Improving infection prevention and control flows and throughput (in context to recent </w:t>
      </w:r>
      <w:r w:rsidR="007D66EF">
        <w:t>Department of Health and Human Services</w:t>
      </w:r>
      <w:r>
        <w:t xml:space="preserve"> COVID-19 recommendations).</w:t>
      </w:r>
    </w:p>
    <w:p w14:paraId="3453FF16" w14:textId="77777777" w:rsidR="00CE7A69" w:rsidRDefault="00CE7A69" w:rsidP="00297124">
      <w:pPr>
        <w:pStyle w:val="Heading3"/>
      </w:pPr>
      <w:r>
        <w:t>Minor medical equipment</w:t>
      </w:r>
    </w:p>
    <w:p w14:paraId="156DB20E" w14:textId="14A8094F" w:rsidR="00CE7A69" w:rsidRDefault="00CE7A69" w:rsidP="00CE7A69">
      <w:pPr>
        <w:pStyle w:val="DHHSbullet1"/>
        <w:numPr>
          <w:ilvl w:val="0"/>
          <w:numId w:val="34"/>
        </w:numPr>
        <w:ind w:left="284" w:hanging="284"/>
      </w:pPr>
      <w:r>
        <w:t xml:space="preserve">Funding for minor medical equipment that is at end of life or new equipment needed to support contemporary models of care and improvement in patient outcomes including enabling capital works; items such as X-ray  units, endoscopic/ laparoscopic towers and scopes and IV pumps (syringe drivers, volumetric pumps, </w:t>
      </w:r>
      <w:r w:rsidR="007D66EF">
        <w:t xml:space="preserve">patient care analgesia </w:t>
      </w:r>
      <w:r>
        <w:t>pumps), patient beds and trolleys.</w:t>
      </w:r>
    </w:p>
    <w:p w14:paraId="2C548C5E" w14:textId="0F68BE04" w:rsidR="00CE7A69" w:rsidRDefault="003D0A65" w:rsidP="00CE7A69">
      <w:pPr>
        <w:pStyle w:val="DHHSbullet1"/>
        <w:numPr>
          <w:ilvl w:val="0"/>
          <w:numId w:val="34"/>
        </w:numPr>
        <w:ind w:left="284" w:hanging="284"/>
      </w:pPr>
      <w:r>
        <w:t>S</w:t>
      </w:r>
      <w:r w:rsidR="00CE7A69">
        <w:t>tatewide mobile services such as such as mobile stroke and renal treatment (lithotripsy) units that provide critical services outside an acute setting</w:t>
      </w:r>
      <w:r w:rsidR="00864A95">
        <w:t>.</w:t>
      </w:r>
    </w:p>
    <w:p w14:paraId="4299BE5A" w14:textId="404E5F5E" w:rsidR="00CE7A69" w:rsidRDefault="003D0A65" w:rsidP="00CE7A69">
      <w:pPr>
        <w:pStyle w:val="DHHSbullet1"/>
        <w:numPr>
          <w:ilvl w:val="0"/>
          <w:numId w:val="34"/>
        </w:numPr>
        <w:ind w:left="284" w:hanging="284"/>
      </w:pPr>
      <w:r>
        <w:t>P</w:t>
      </w:r>
      <w:r w:rsidR="00CE7A69">
        <w:t>athology equipment and medical fridges and freezers</w:t>
      </w:r>
      <w:r w:rsidR="00864A95">
        <w:t>.</w:t>
      </w:r>
    </w:p>
    <w:p w14:paraId="1F28521F" w14:textId="19AD70AB" w:rsidR="00CE7A69" w:rsidRDefault="003D0A65" w:rsidP="00CE7A69">
      <w:pPr>
        <w:pStyle w:val="DHHSbullet1"/>
        <w:numPr>
          <w:ilvl w:val="0"/>
          <w:numId w:val="34"/>
        </w:numPr>
        <w:ind w:left="284" w:hanging="284"/>
      </w:pPr>
      <w:r>
        <w:t>B</w:t>
      </w:r>
      <w:r w:rsidR="00CE7A69">
        <w:t>reast screen equipment</w:t>
      </w:r>
      <w:r w:rsidR="00864A95">
        <w:t>.</w:t>
      </w:r>
    </w:p>
    <w:p w14:paraId="68E3376A" w14:textId="2DC80998" w:rsidR="00CE7A69" w:rsidRDefault="003D0A65" w:rsidP="00CE7A69">
      <w:pPr>
        <w:pStyle w:val="DHHSbullet1"/>
        <w:numPr>
          <w:ilvl w:val="0"/>
          <w:numId w:val="34"/>
        </w:numPr>
        <w:ind w:left="284" w:hanging="284"/>
      </w:pPr>
      <w:r>
        <w:t>S</w:t>
      </w:r>
      <w:r w:rsidR="00CE7A69">
        <w:t xml:space="preserve">pecialised furniture and fittings in operating rooms, </w:t>
      </w:r>
      <w:r>
        <w:t xml:space="preserve">intensive care units and emergency departments </w:t>
      </w:r>
      <w:r w:rsidR="00CE7A69">
        <w:t>such as pendants, operating room lights and operating room tables)</w:t>
      </w:r>
      <w:r w:rsidR="00864A95">
        <w:t>.</w:t>
      </w:r>
    </w:p>
    <w:p w14:paraId="6FD1DAA3" w14:textId="77777777" w:rsidR="00CE7A69" w:rsidRDefault="00CE7A69" w:rsidP="00CE7A69">
      <w:pPr>
        <w:pStyle w:val="DHHSbullet1"/>
        <w:numPr>
          <w:ilvl w:val="0"/>
          <w:numId w:val="34"/>
        </w:numPr>
        <w:ind w:left="284" w:hanging="284"/>
      </w:pPr>
      <w:r>
        <w:t>Equipment for dental health where auspiced by a health service such as dental chairs, exam lights and OPG equipment.</w:t>
      </w:r>
    </w:p>
    <w:p w14:paraId="60BD8617" w14:textId="77777777" w:rsidR="00CE7A69" w:rsidRDefault="00CE7A69" w:rsidP="00297124">
      <w:pPr>
        <w:pStyle w:val="Heading3"/>
      </w:pPr>
      <w:r>
        <w:t xml:space="preserve">Healthcare worker safety </w:t>
      </w:r>
    </w:p>
    <w:p w14:paraId="61CE0954" w14:textId="77777777" w:rsidR="00CE7A69" w:rsidRDefault="00CE7A69" w:rsidP="00CE7A69">
      <w:pPr>
        <w:pStyle w:val="DHHSbullet1"/>
        <w:numPr>
          <w:ilvl w:val="0"/>
          <w:numId w:val="34"/>
        </w:numPr>
        <w:ind w:left="284" w:hanging="284"/>
      </w:pPr>
      <w:r>
        <w:t>Funding to prevent and control high priority hazards and risks in the workplace and remediate these risks with minor capital works such as egress doors, room configuration / equipment (CCTV, duress alarms), appropriate signage and wayfinding that enhance the security and welfare of people in workplaces.</w:t>
      </w:r>
    </w:p>
    <w:p w14:paraId="3848C7B6" w14:textId="77777777" w:rsidR="00CE7A69" w:rsidRDefault="00CE7A69" w:rsidP="00297124">
      <w:pPr>
        <w:pStyle w:val="Heading3"/>
      </w:pPr>
      <w:r>
        <w:t>Construction works</w:t>
      </w:r>
    </w:p>
    <w:p w14:paraId="5B22760B" w14:textId="6E24CBE8" w:rsidR="00CE7A69" w:rsidRPr="00297124" w:rsidRDefault="00CE7A69" w:rsidP="00297124">
      <w:pPr>
        <w:pStyle w:val="DHHSbullet1"/>
      </w:pPr>
      <w:r w:rsidRPr="00297124">
        <w:t>Remodelling, refurbishment and expansion projects to address aged building fabric, compliance and demand issues; and meet universal design standards</w:t>
      </w:r>
      <w:r w:rsidR="00043279">
        <w:t xml:space="preserve"> (</w:t>
      </w:r>
      <w:r w:rsidRPr="00297124">
        <w:t>see Appendix 1</w:t>
      </w:r>
      <w:r w:rsidR="00043279">
        <w:t>)</w:t>
      </w:r>
      <w:r w:rsidR="00864A95">
        <w:t>.</w:t>
      </w:r>
    </w:p>
    <w:p w14:paraId="54177789" w14:textId="77777777" w:rsidR="00CE7A69" w:rsidRPr="00297124" w:rsidRDefault="00CE7A69" w:rsidP="00297124">
      <w:pPr>
        <w:pStyle w:val="DHHSbullet1"/>
      </w:pPr>
      <w:r w:rsidRPr="00297124">
        <w:t>Need for buildings to be fit for purpose, for example moving from low care to high care residential aged services</w:t>
      </w:r>
    </w:p>
    <w:p w14:paraId="2351A00F" w14:textId="14AF6C42" w:rsidR="00CE7A69" w:rsidRDefault="00CE7A69" w:rsidP="00297124">
      <w:pPr>
        <w:pStyle w:val="DHHSbullet1"/>
      </w:pPr>
      <w:r w:rsidRPr="00297124">
        <w:t>Need for major refurbishment / repairs / reconfiguration / replacement or expansion of ageing buildings and</w:t>
      </w:r>
      <w:r>
        <w:t xml:space="preserve"> equipment that reflect infrastructure risk mitigation strategies</w:t>
      </w:r>
      <w:r w:rsidR="00864A95">
        <w:t>:</w:t>
      </w:r>
    </w:p>
    <w:p w14:paraId="0D761866" w14:textId="77777777" w:rsidR="00CE7A69" w:rsidRDefault="00CE7A69" w:rsidP="00297124">
      <w:pPr>
        <w:pStyle w:val="DHHSbullet2"/>
      </w:pPr>
      <w:r>
        <w:t>security systems (access control, CCTV, duress alarms)</w:t>
      </w:r>
    </w:p>
    <w:p w14:paraId="0692B655" w14:textId="77777777" w:rsidR="00CE7A69" w:rsidRDefault="00CE7A69" w:rsidP="00297124">
      <w:pPr>
        <w:pStyle w:val="DHHSbullet2"/>
      </w:pPr>
      <w:r>
        <w:t>kitchen upgrades or equipment</w:t>
      </w:r>
    </w:p>
    <w:p w14:paraId="456993F9" w14:textId="77777777" w:rsidR="00CE7A69" w:rsidRDefault="00CE7A69" w:rsidP="00297124">
      <w:pPr>
        <w:pStyle w:val="DHHSbullet2"/>
      </w:pPr>
      <w:r>
        <w:t>assets located underground and reticulation services</w:t>
      </w:r>
    </w:p>
    <w:p w14:paraId="7E5EA107" w14:textId="77777777" w:rsidR="00CE7A69" w:rsidRDefault="00CE7A69" w:rsidP="00297124">
      <w:pPr>
        <w:pStyle w:val="DHHSbullet2"/>
      </w:pPr>
      <w:r>
        <w:t>waiting room configurations (infection prevention)</w:t>
      </w:r>
    </w:p>
    <w:p w14:paraId="0F548720" w14:textId="77777777" w:rsidR="00CE7A69" w:rsidRDefault="00CE7A69" w:rsidP="00297124">
      <w:pPr>
        <w:pStyle w:val="DHHSbullet2"/>
      </w:pPr>
      <w:r>
        <w:t>tea room configurations (infection prevention)</w:t>
      </w:r>
    </w:p>
    <w:p w14:paraId="38D09A96" w14:textId="77777777" w:rsidR="00CE7A69" w:rsidRDefault="00CE7A69" w:rsidP="00297124">
      <w:pPr>
        <w:pStyle w:val="DHHSbullet2"/>
      </w:pPr>
      <w:r>
        <w:t>accessible paths and ramps, Changing Places toilets</w:t>
      </w:r>
    </w:p>
    <w:p w14:paraId="35C73CAB" w14:textId="77777777" w:rsidR="00CE7A69" w:rsidRDefault="00CE7A69" w:rsidP="00297124">
      <w:pPr>
        <w:pStyle w:val="DHHSbullet2"/>
      </w:pPr>
      <w:r>
        <w:t>expansion of services including consulting rooms, wards, pathology, operating theatres.</w:t>
      </w:r>
    </w:p>
    <w:p w14:paraId="376F2D3C" w14:textId="209A52D6" w:rsidR="00CE7A69" w:rsidRDefault="00CE7A69" w:rsidP="00297124">
      <w:pPr>
        <w:pStyle w:val="Heading3"/>
      </w:pPr>
      <w:r>
        <w:t xml:space="preserve">Community </w:t>
      </w:r>
      <w:r w:rsidR="00297124">
        <w:t>health servic</w:t>
      </w:r>
      <w:r>
        <w:t>es</w:t>
      </w:r>
    </w:p>
    <w:p w14:paraId="3F272AB8" w14:textId="28D8E5E3" w:rsidR="00CE7A69" w:rsidRPr="00297124" w:rsidRDefault="00CE7A69" w:rsidP="00297124">
      <w:pPr>
        <w:pStyle w:val="DHHSbullet1"/>
      </w:pPr>
      <w:r w:rsidRPr="00297124">
        <w:t>Address building defects such as leaking roofs, broken sewerage systems and worn carpets</w:t>
      </w:r>
      <w:r w:rsidR="00864A95">
        <w:t>.</w:t>
      </w:r>
      <w:r w:rsidRPr="00297124">
        <w:t xml:space="preserve"> </w:t>
      </w:r>
    </w:p>
    <w:p w14:paraId="5C9E991A" w14:textId="23F7FB00" w:rsidR="00CE7A69" w:rsidRPr="00297124" w:rsidRDefault="00CE7A69" w:rsidP="00297124">
      <w:pPr>
        <w:pStyle w:val="DHHSbullet1"/>
      </w:pPr>
      <w:r w:rsidRPr="00297124">
        <w:t>Address increased demand through expansion and refurbishment of existing premises such as new reception and intake areas to bring facilities up to the appropriate standards for universal design, including disability access, and ensure the safety and security of public areas</w:t>
      </w:r>
      <w:r w:rsidR="00864A95">
        <w:t>.</w:t>
      </w:r>
    </w:p>
    <w:p w14:paraId="4B64667E" w14:textId="42924839" w:rsidR="00CE7A69" w:rsidRPr="00297124" w:rsidRDefault="00CE7A69" w:rsidP="00297124">
      <w:pPr>
        <w:pStyle w:val="DHHSbullet1"/>
      </w:pPr>
      <w:r w:rsidRPr="00297124">
        <w:t>Upgrade</w:t>
      </w:r>
      <w:r w:rsidR="00864A95">
        <w:t>s to</w:t>
      </w:r>
      <w:r w:rsidRPr="00297124">
        <w:t xml:space="preserve"> ICT systems</w:t>
      </w:r>
      <w:r w:rsidR="00864A95">
        <w:t>.</w:t>
      </w:r>
    </w:p>
    <w:p w14:paraId="65BCC6C3" w14:textId="77777777" w:rsidR="00CE7A69" w:rsidRPr="00297124" w:rsidRDefault="00CE7A69" w:rsidP="00297124">
      <w:pPr>
        <w:pStyle w:val="DHHSbullet1"/>
      </w:pPr>
      <w:r w:rsidRPr="00297124">
        <w:lastRenderedPageBreak/>
        <w:t>Undertake planning and feasibility study, for example: service plan, strategic business case, planning brief, feasibility study or master plan.</w:t>
      </w:r>
    </w:p>
    <w:p w14:paraId="162222A0" w14:textId="314939AD" w:rsidR="00CE7A69" w:rsidRDefault="00043279" w:rsidP="00297124">
      <w:pPr>
        <w:pStyle w:val="Heading3"/>
      </w:pPr>
      <w:bookmarkStart w:id="11" w:name="_Hlk63863362"/>
      <w:r>
        <w:t xml:space="preserve">Aboriginal Community Controlled </w:t>
      </w:r>
      <w:r w:rsidR="00DD482C">
        <w:t xml:space="preserve">Health </w:t>
      </w:r>
      <w:r>
        <w:t>Organisations</w:t>
      </w:r>
    </w:p>
    <w:bookmarkEnd w:id="11"/>
    <w:p w14:paraId="36970A4D" w14:textId="00E9874E" w:rsidR="00CE7A69" w:rsidRPr="00297124" w:rsidRDefault="00CE7A69" w:rsidP="00297124">
      <w:pPr>
        <w:pStyle w:val="DHHSbullet1"/>
      </w:pPr>
      <w:r w:rsidRPr="00297124">
        <w:t>Funding to repair and maintain assets, undertake minor capital improvements or purchase additional equipment</w:t>
      </w:r>
      <w:r w:rsidR="00864A95">
        <w:t>.</w:t>
      </w:r>
    </w:p>
    <w:p w14:paraId="5B72EBF6" w14:textId="77777777" w:rsidR="00CE7A69" w:rsidRPr="00297124" w:rsidRDefault="00CE7A69" w:rsidP="00297124">
      <w:pPr>
        <w:pStyle w:val="DHHSbullet1"/>
      </w:pPr>
      <w:bookmarkStart w:id="12" w:name="_Hlk61437357"/>
      <w:r w:rsidRPr="00297124">
        <w:t>Undertake planning and feasibility study, for example: service plan, strategic business case, planning brief, feasibility study or master plan.</w:t>
      </w:r>
    </w:p>
    <w:p w14:paraId="62D31ADA" w14:textId="77777777" w:rsidR="00CE7A69" w:rsidRDefault="00CE7A69" w:rsidP="00CE7A69">
      <w:pPr>
        <w:pStyle w:val="Heading1"/>
      </w:pPr>
      <w:bookmarkStart w:id="13" w:name="_Toc64016571"/>
      <w:bookmarkEnd w:id="12"/>
      <w:r>
        <w:t>Ineligible and excluded items</w:t>
      </w:r>
      <w:bookmarkEnd w:id="13"/>
    </w:p>
    <w:p w14:paraId="57B9F8E8" w14:textId="6B2A4E73" w:rsidR="00CE7A69" w:rsidRPr="00297124" w:rsidRDefault="00864A95" w:rsidP="00297124">
      <w:pPr>
        <w:pStyle w:val="DHHSbullet1"/>
      </w:pPr>
      <w:r w:rsidRPr="00297124">
        <w:t>operational funding</w:t>
      </w:r>
    </w:p>
    <w:p w14:paraId="148EC2B6" w14:textId="7FCAB959" w:rsidR="00CE7A69" w:rsidRPr="00297124" w:rsidRDefault="00864A95" w:rsidP="00297124">
      <w:pPr>
        <w:pStyle w:val="DHHSbullet1"/>
      </w:pPr>
      <w:r w:rsidRPr="00297124">
        <w:t>f</w:t>
      </w:r>
      <w:r w:rsidR="00CE7A69" w:rsidRPr="00297124">
        <w:t xml:space="preserve">ixtures, fittings and furniture not associated with a refurbishment project. Routine replacement of furniture and fittings that are worn is the responsibility of </w:t>
      </w:r>
      <w:r w:rsidR="00043279">
        <w:t>a</w:t>
      </w:r>
      <w:r w:rsidR="00CE7A69" w:rsidRPr="00297124">
        <w:t>gencies to manage as part of their existing maintenance and replacement program</w:t>
      </w:r>
    </w:p>
    <w:p w14:paraId="43D07F35" w14:textId="6348432C" w:rsidR="00CE7A69" w:rsidRPr="00297124" w:rsidRDefault="00864A95" w:rsidP="00297124">
      <w:pPr>
        <w:pStyle w:val="DHHSbullet1"/>
      </w:pPr>
      <w:r>
        <w:t>m</w:t>
      </w:r>
      <w:r w:rsidR="00CE7A69" w:rsidRPr="00297124">
        <w:t>otor vehicles.</w:t>
      </w:r>
    </w:p>
    <w:p w14:paraId="30ACEBD9" w14:textId="11C5D001" w:rsidR="00CE7A69" w:rsidRDefault="00CE7A69" w:rsidP="00CE7A69">
      <w:pPr>
        <w:pStyle w:val="Heading1"/>
        <w:rPr>
          <w:szCs w:val="36"/>
        </w:rPr>
      </w:pPr>
      <w:bookmarkStart w:id="14" w:name="_Toc57386770"/>
      <w:bookmarkStart w:id="15" w:name="_Toc64016572"/>
      <w:bookmarkStart w:id="16" w:name="_Toc20993810"/>
      <w:bookmarkStart w:id="17" w:name="_Hlk17902238"/>
      <w:r>
        <w:rPr>
          <w:szCs w:val="36"/>
        </w:rPr>
        <w:t xml:space="preserve">Submission </w:t>
      </w:r>
      <w:r w:rsidR="00297124">
        <w:rPr>
          <w:szCs w:val="36"/>
        </w:rPr>
        <w:t>p</w:t>
      </w:r>
      <w:r>
        <w:rPr>
          <w:szCs w:val="36"/>
        </w:rPr>
        <w:t>rocess</w:t>
      </w:r>
      <w:bookmarkEnd w:id="14"/>
      <w:bookmarkEnd w:id="15"/>
      <w:r>
        <w:rPr>
          <w:szCs w:val="36"/>
        </w:rPr>
        <w:t xml:space="preserve"> </w:t>
      </w:r>
    </w:p>
    <w:p w14:paraId="7B06998D" w14:textId="39AEEC74" w:rsidR="00043279" w:rsidRDefault="00043279" w:rsidP="00043279">
      <w:pPr>
        <w:pStyle w:val="DHHSnumberdigit"/>
        <w:numPr>
          <w:ilvl w:val="0"/>
          <w:numId w:val="0"/>
        </w:numPr>
        <w:ind w:left="397" w:hanging="397"/>
      </w:pPr>
      <w:bookmarkStart w:id="18" w:name="_Hlk63863400"/>
      <w:r>
        <w:t>The submission process is as follows:</w:t>
      </w:r>
    </w:p>
    <w:p w14:paraId="6CC96677" w14:textId="48017587" w:rsidR="00043279" w:rsidRDefault="00043279" w:rsidP="00043279">
      <w:pPr>
        <w:pStyle w:val="DHHSnumberdigit"/>
      </w:pPr>
      <w:r>
        <w:t>Call for submissions</w:t>
      </w:r>
    </w:p>
    <w:p w14:paraId="705119F6" w14:textId="58D0EAB3" w:rsidR="00043279" w:rsidRDefault="00043279" w:rsidP="00043279">
      <w:pPr>
        <w:pStyle w:val="DHHSnumberdigit"/>
      </w:pPr>
      <w:r>
        <w:t>Eligibility assessment</w:t>
      </w:r>
    </w:p>
    <w:p w14:paraId="61C8C3C5" w14:textId="39A579DC" w:rsidR="00043279" w:rsidRDefault="00043279" w:rsidP="00043279">
      <w:pPr>
        <w:pStyle w:val="DHHSnumberdigit"/>
      </w:pPr>
      <w:r>
        <w:t>Evaluation panel assessments</w:t>
      </w:r>
    </w:p>
    <w:p w14:paraId="1C40B588" w14:textId="797C8EEB" w:rsidR="00043279" w:rsidRDefault="00043279" w:rsidP="00043279">
      <w:pPr>
        <w:pStyle w:val="DHHSnumberdigit"/>
      </w:pPr>
      <w:r>
        <w:t>Buildability review</w:t>
      </w:r>
    </w:p>
    <w:p w14:paraId="3A83C4CF" w14:textId="2F56FC65" w:rsidR="00043279" w:rsidRDefault="00043279" w:rsidP="00043279">
      <w:pPr>
        <w:pStyle w:val="DHHSnumberdigit"/>
      </w:pPr>
      <w:r>
        <w:t>Executive panel endorsement</w:t>
      </w:r>
    </w:p>
    <w:p w14:paraId="371D787F" w14:textId="47B21003" w:rsidR="00043279" w:rsidRDefault="00043279" w:rsidP="00043279">
      <w:pPr>
        <w:pStyle w:val="DHHSnumberdigit"/>
      </w:pPr>
      <w:r>
        <w:t>Ministerial approval</w:t>
      </w:r>
    </w:p>
    <w:p w14:paraId="151D24CD" w14:textId="6BB805B9" w:rsidR="00043279" w:rsidRDefault="00043279" w:rsidP="00043279">
      <w:pPr>
        <w:pStyle w:val="DHHSnumberdigit"/>
      </w:pPr>
      <w:r>
        <w:t>Agency notification</w:t>
      </w:r>
    </w:p>
    <w:p w14:paraId="0DC08A1D" w14:textId="1E2BD335" w:rsidR="00043279" w:rsidRPr="00043279" w:rsidRDefault="00043279" w:rsidP="00043279">
      <w:pPr>
        <w:pStyle w:val="DHHSnumberdigit"/>
        <w:spacing w:after="240"/>
      </w:pPr>
      <w:r>
        <w:t>Project execution and delivery.</w:t>
      </w:r>
    </w:p>
    <w:bookmarkEnd w:id="18"/>
    <w:p w14:paraId="74E0A444" w14:textId="10B844DA" w:rsidR="00CE7A69" w:rsidRDefault="00CE7A69" w:rsidP="00CE7A69">
      <w:pPr>
        <w:pStyle w:val="DHHSbody"/>
        <w:rPr>
          <w:rFonts w:cs="Arial"/>
        </w:rPr>
      </w:pPr>
      <w:r>
        <w:rPr>
          <w:rFonts w:cs="Arial"/>
          <w:noProof/>
        </w:rPr>
        <w:drawing>
          <wp:inline distT="0" distB="0" distL="0" distR="0" wp14:anchorId="2234016E" wp14:editId="125BC3B6">
            <wp:extent cx="5494020" cy="2706370"/>
            <wp:effectExtent l="0" t="0" r="0" b="0"/>
            <wp:docPr id="2" name="Picture 2" descr="A diagram outlining the submission process, as per steps 1 to 8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utlining the submission process, as per steps 1 to 8 abo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4020" cy="2706370"/>
                    </a:xfrm>
                    <a:prstGeom prst="rect">
                      <a:avLst/>
                    </a:prstGeom>
                    <a:noFill/>
                    <a:ln>
                      <a:noFill/>
                    </a:ln>
                  </pic:spPr>
                </pic:pic>
              </a:graphicData>
            </a:graphic>
          </wp:inline>
        </w:drawing>
      </w:r>
    </w:p>
    <w:p w14:paraId="3E0B1637" w14:textId="77777777" w:rsidR="00DD482C" w:rsidRDefault="00DD482C">
      <w:pPr>
        <w:spacing w:after="0" w:line="240" w:lineRule="auto"/>
        <w:rPr>
          <w:rFonts w:ascii="Arial" w:eastAsia="MS Gothic" w:hAnsi="Arial" w:cs="Arial"/>
          <w:bCs/>
          <w:color w:val="0074BC" w:themeColor="text2"/>
          <w:kern w:val="32"/>
          <w:sz w:val="36"/>
          <w:szCs w:val="36"/>
        </w:rPr>
      </w:pPr>
      <w:bookmarkStart w:id="19" w:name="_Toc57386771"/>
      <w:r>
        <w:rPr>
          <w:szCs w:val="36"/>
        </w:rPr>
        <w:br w:type="page"/>
      </w:r>
    </w:p>
    <w:p w14:paraId="690ACCFF" w14:textId="5D23B607" w:rsidR="00CE7A69" w:rsidRDefault="00CE7A69" w:rsidP="00CE7A69">
      <w:pPr>
        <w:pStyle w:val="Heading1"/>
        <w:rPr>
          <w:szCs w:val="36"/>
        </w:rPr>
      </w:pPr>
      <w:bookmarkStart w:id="20" w:name="_Toc64016573"/>
      <w:r>
        <w:rPr>
          <w:szCs w:val="36"/>
        </w:rPr>
        <w:lastRenderedPageBreak/>
        <w:t xml:space="preserve">Submission </w:t>
      </w:r>
      <w:r w:rsidR="00297124">
        <w:rPr>
          <w:szCs w:val="36"/>
        </w:rPr>
        <w:t>r</w:t>
      </w:r>
      <w:r>
        <w:rPr>
          <w:szCs w:val="36"/>
        </w:rPr>
        <w:t>equirements</w:t>
      </w:r>
      <w:bookmarkEnd w:id="19"/>
      <w:bookmarkEnd w:id="20"/>
    </w:p>
    <w:p w14:paraId="5E673C0F" w14:textId="31B47D06" w:rsidR="00CE7A69" w:rsidRDefault="00CE7A69" w:rsidP="00CE7A69">
      <w:pPr>
        <w:pStyle w:val="DHHSbody"/>
      </w:pPr>
      <w:r>
        <w:t>The Victorian Health and Human Services Building Authority (VHHSBA) is using a web-based on</w:t>
      </w:r>
      <w:r w:rsidR="00043279">
        <w:t>l</w:t>
      </w:r>
      <w:r>
        <w:t xml:space="preserve">ine application process. </w:t>
      </w:r>
    </w:p>
    <w:p w14:paraId="3977FB18" w14:textId="742D1D07" w:rsidR="00CE7A69" w:rsidRDefault="00CE7A69" w:rsidP="00CE7A69">
      <w:pPr>
        <w:pStyle w:val="DHHSbody"/>
      </w:pPr>
      <w:r>
        <w:t>The application should address the selection criteria and include a full description of the key deliverables, funding sought (excluding GST), likely benefits and how key risks would be mitigated. The following supporting documentation is required:</w:t>
      </w:r>
    </w:p>
    <w:p w14:paraId="4AE893EC" w14:textId="77777777" w:rsidR="00CE7A69" w:rsidRPr="00043279" w:rsidRDefault="00CE7A69" w:rsidP="00043279">
      <w:pPr>
        <w:pStyle w:val="DHHSbullet1"/>
      </w:pPr>
      <w:r w:rsidRPr="00043279">
        <w:t>Quotes for supply/installation including provision to ‘make good’</w:t>
      </w:r>
    </w:p>
    <w:p w14:paraId="577F9428" w14:textId="77777777" w:rsidR="00CE7A69" w:rsidRPr="00043279" w:rsidRDefault="00CE7A69" w:rsidP="00043279">
      <w:pPr>
        <w:pStyle w:val="DHHSbullet1"/>
      </w:pPr>
      <w:r w:rsidRPr="00043279">
        <w:t>Cost Plan (including associated decanting costs, enabling infrastructure works, site / infrastructure costs, demolition, fees, contingency allocation and estimated cash flow)</w:t>
      </w:r>
    </w:p>
    <w:p w14:paraId="5463B10D" w14:textId="77777777" w:rsidR="00CE7A69" w:rsidRPr="00043279" w:rsidRDefault="00CE7A69" w:rsidP="00043279">
      <w:pPr>
        <w:pStyle w:val="DHHSbullet1"/>
      </w:pPr>
      <w:r w:rsidRPr="00043279">
        <w:t>Project Management Plan:</w:t>
      </w:r>
    </w:p>
    <w:p w14:paraId="0F8C167E" w14:textId="77777777" w:rsidR="00CE7A69" w:rsidRDefault="00CE7A69" w:rsidP="00297124">
      <w:pPr>
        <w:pStyle w:val="DHHSbullet2"/>
      </w:pPr>
      <w:r>
        <w:t xml:space="preserve">Applications less than $5 million should include information on scope, governance structure, timelines, deliverables, benefits including lifecycle costings and payback periods (if applicable - where additional revenue and / or cost savings are anticipated from the solution proposed. </w:t>
      </w:r>
    </w:p>
    <w:p w14:paraId="0C47A04A" w14:textId="5E8D8FFF" w:rsidR="00CE7A69" w:rsidRDefault="00CE7A69" w:rsidP="00297124">
      <w:pPr>
        <w:pStyle w:val="DHHSbullet2"/>
      </w:pPr>
      <w:r>
        <w:t>Applications greater than $5 million should, where appropriate, include links to Master</w:t>
      </w:r>
      <w:r w:rsidR="00043279">
        <w:t>p</w:t>
      </w:r>
      <w:r>
        <w:t>lanning, Feasibility Plans, Schematic Design, Cost Plans including full lifecycle costings governance structure, timelines, deliverables, benefits and risk assessments.</w:t>
      </w:r>
    </w:p>
    <w:p w14:paraId="32DCF96C" w14:textId="5FE3AC44" w:rsidR="00CE7A69" w:rsidRDefault="00CE7A69" w:rsidP="00297124">
      <w:pPr>
        <w:pStyle w:val="DHHSbullet2"/>
      </w:pPr>
      <w:r>
        <w:t>You must complete the Metropolitan Lifecycle costing spreadsheet only for applications where</w:t>
      </w:r>
      <w:r>
        <w:rPr>
          <w:rStyle w:val="normaltextrun"/>
          <w:rFonts w:cs="Arial"/>
        </w:rPr>
        <w:t xml:space="preserve"> additional revenue </w:t>
      </w:r>
      <w:r>
        <w:t>and</w:t>
      </w:r>
      <w:r>
        <w:rPr>
          <w:rStyle w:val="normaltextrun"/>
          <w:rFonts w:cs="Arial"/>
        </w:rPr>
        <w:t xml:space="preserve"> /or cost savings are anticipated from the solution proposed. Cost savings or additional revenue generated will be considered favourably. </w:t>
      </w:r>
      <w:r>
        <w:t xml:space="preserve">You can download this from the </w:t>
      </w:r>
      <w:hyperlink r:id="rId21" w:history="1">
        <w:r>
          <w:rPr>
            <w:rStyle w:val="Hyperlink"/>
            <w:rFonts w:cs="Arial"/>
          </w:rPr>
          <w:t>Metropolitan Health Infrastructure Fund</w:t>
        </w:r>
      </w:hyperlink>
      <w:r>
        <w:t xml:space="preserve"> &lt;</w:t>
      </w:r>
      <w:r w:rsidRPr="00043279">
        <w:rPr>
          <w:rFonts w:cs="Arial"/>
        </w:rPr>
        <w:t>https://www.vhhsba.vic.gov.au/health/hospitals/metropolitan-health-infrastructure-fund</w:t>
      </w:r>
      <w:r>
        <w:t>&gt;.</w:t>
      </w:r>
      <w:r w:rsidR="00043279">
        <w:t xml:space="preserve"> </w:t>
      </w:r>
    </w:p>
    <w:p w14:paraId="62596319" w14:textId="77777777" w:rsidR="00CE7A69" w:rsidRDefault="00CE7A69" w:rsidP="00297124">
      <w:pPr>
        <w:pStyle w:val="DHHSbullet2"/>
      </w:pPr>
      <w:r>
        <w:t>Independent reports highlighting risk and / or compliance issues including recommendations and proposed solutions.</w:t>
      </w:r>
    </w:p>
    <w:p w14:paraId="1A3B9F22" w14:textId="43D134C9" w:rsidR="00CE7A69" w:rsidRDefault="00CE7A69" w:rsidP="00297124">
      <w:pPr>
        <w:pStyle w:val="Heading3"/>
      </w:pPr>
      <w:r>
        <w:t xml:space="preserve">Online </w:t>
      </w:r>
      <w:r w:rsidR="00297124">
        <w:t>p</w:t>
      </w:r>
      <w:r>
        <w:t>ortal for applications</w:t>
      </w:r>
    </w:p>
    <w:p w14:paraId="56C3C0F9" w14:textId="1614AE57" w:rsidR="00CE7A69" w:rsidRPr="00043279" w:rsidRDefault="00CE7A69" w:rsidP="00CE7A69">
      <w:pPr>
        <w:pStyle w:val="DHHSbody"/>
        <w:rPr>
          <w:rStyle w:val="Hyperlink"/>
          <w:rFonts w:cs="Arial"/>
          <w:color w:val="auto"/>
          <w:u w:val="none"/>
        </w:rPr>
      </w:pPr>
      <w:r>
        <w:rPr>
          <w:rFonts w:cs="Arial"/>
        </w:rPr>
        <w:t>The online portal SmartyGrants</w:t>
      </w:r>
      <w:r w:rsidR="00043279">
        <w:rPr>
          <w:rFonts w:cs="Arial"/>
        </w:rPr>
        <w:t xml:space="preserve"> </w:t>
      </w:r>
      <w:r>
        <w:rPr>
          <w:rFonts w:cs="Arial"/>
        </w:rPr>
        <w:t>will be the means of submission. The web address to seek information about SmartyGrants is</w:t>
      </w:r>
      <w:r w:rsidR="00043279">
        <w:rPr>
          <w:rFonts w:cs="Arial"/>
        </w:rPr>
        <w:t xml:space="preserve"> </w:t>
      </w:r>
      <w:r>
        <w:rPr>
          <w:rFonts w:cs="Arial"/>
        </w:rPr>
        <w:t>&lt;</w:t>
      </w:r>
      <w:r w:rsidRPr="00043279">
        <w:t>www.smartygrants.com.au</w:t>
      </w:r>
      <w:r>
        <w:rPr>
          <w:rFonts w:cs="Arial"/>
        </w:rPr>
        <w:t>&gt;</w:t>
      </w:r>
      <w:r w:rsidR="00043279">
        <w:rPr>
          <w:rFonts w:cs="Arial"/>
        </w:rPr>
        <w:t xml:space="preserve"> You </w:t>
      </w:r>
      <w:r>
        <w:rPr>
          <w:rFonts w:cs="Arial"/>
        </w:rPr>
        <w:t>will be required to create a password protected log</w:t>
      </w:r>
      <w:r w:rsidR="00043279">
        <w:rPr>
          <w:rFonts w:cs="Arial"/>
        </w:rPr>
        <w:t>i</w:t>
      </w:r>
      <w:r>
        <w:rPr>
          <w:rFonts w:cs="Arial"/>
        </w:rPr>
        <w:t xml:space="preserve">n to access the application form. The </w:t>
      </w:r>
      <w:hyperlink r:id="rId22" w:history="1">
        <w:r w:rsidR="00043279" w:rsidRPr="0028334D">
          <w:rPr>
            <w:rStyle w:val="Hyperlink"/>
            <w:rFonts w:cs="Arial"/>
          </w:rPr>
          <w:t xml:space="preserve">SmartyGrants </w:t>
        </w:r>
        <w:r w:rsidRPr="0028334D">
          <w:rPr>
            <w:rStyle w:val="Hyperlink"/>
            <w:rFonts w:cs="Arial"/>
          </w:rPr>
          <w:t>portal access</w:t>
        </w:r>
      </w:hyperlink>
      <w:r>
        <w:rPr>
          <w:rFonts w:cs="Arial"/>
        </w:rPr>
        <w:t xml:space="preserve"> is located at</w:t>
      </w:r>
      <w:r w:rsidR="00043279">
        <w:rPr>
          <w:rFonts w:cs="Arial"/>
        </w:rPr>
        <w:t xml:space="preserve"> &lt;</w:t>
      </w:r>
      <w:r w:rsidR="00043279" w:rsidRPr="00043279">
        <w:t>https://dhhs.smartygrants.com.au/MHIF</w:t>
      </w:r>
      <w:r w:rsidR="00043279">
        <w:t xml:space="preserve">&gt;. </w:t>
      </w:r>
    </w:p>
    <w:p w14:paraId="2ECF045F" w14:textId="77777777" w:rsidR="00CE7A69" w:rsidRDefault="00CE7A69" w:rsidP="00CE7A69">
      <w:pPr>
        <w:pStyle w:val="DHHSbody"/>
        <w:rPr>
          <w:rFonts w:cs="Arial"/>
        </w:rPr>
      </w:pPr>
      <w:r>
        <w:rPr>
          <w:rFonts w:cs="Arial"/>
        </w:rPr>
        <w:t>All applications must be:</w:t>
      </w:r>
    </w:p>
    <w:p w14:paraId="56E78A46" w14:textId="70A7E53C" w:rsidR="00CE7A69" w:rsidRPr="00297124" w:rsidRDefault="00043279" w:rsidP="00297124">
      <w:pPr>
        <w:pStyle w:val="DHHSbullet1"/>
      </w:pPr>
      <w:r w:rsidRPr="00297124">
        <w:t>from an eligible agency</w:t>
      </w:r>
    </w:p>
    <w:p w14:paraId="0BB09080" w14:textId="740A39B7" w:rsidR="00CE7A69" w:rsidRPr="00297124" w:rsidRDefault="00043279" w:rsidP="00297124">
      <w:pPr>
        <w:pStyle w:val="DHHSbullet1"/>
      </w:pPr>
      <w:r w:rsidRPr="00297124">
        <w:t>en</w:t>
      </w:r>
      <w:r w:rsidR="00CE7A69" w:rsidRPr="00297124">
        <w:t>dorsed by the Chief Executive Officer</w:t>
      </w:r>
    </w:p>
    <w:p w14:paraId="0FA435A7" w14:textId="23E3B766" w:rsidR="00CE7A69" w:rsidRPr="00297124" w:rsidRDefault="00043279" w:rsidP="00297124">
      <w:pPr>
        <w:pStyle w:val="DHHSbullet1"/>
      </w:pPr>
      <w:r>
        <w:t>s</w:t>
      </w:r>
      <w:r w:rsidR="00CE7A69" w:rsidRPr="00297124">
        <w:t>ubmitted via the online portal SmartyGrants application form and include relevant supporting documentation (for example: project management plan (or business case), design drawings, photos, cost plans, quotations and other supporting information)</w:t>
      </w:r>
    </w:p>
    <w:p w14:paraId="29AAEF28" w14:textId="0A2E8C01" w:rsidR="00CE7A69" w:rsidRPr="00864A95" w:rsidRDefault="00043279" w:rsidP="00297124">
      <w:pPr>
        <w:pStyle w:val="DHHSbullet1"/>
        <w:rPr>
          <w:rStyle w:val="Strong"/>
        </w:rPr>
      </w:pPr>
      <w:r>
        <w:t>r</w:t>
      </w:r>
      <w:r w:rsidR="00CE7A69" w:rsidRPr="00297124">
        <w:t xml:space="preserve">eceived no later than the SmartyGrants closing date and time </w:t>
      </w:r>
      <w:r w:rsidR="00CE7A69" w:rsidRPr="00864A95">
        <w:rPr>
          <w:rStyle w:val="Strong"/>
        </w:rPr>
        <w:t>5.00 pm</w:t>
      </w:r>
      <w:r w:rsidRPr="00864A95">
        <w:rPr>
          <w:rStyle w:val="Strong"/>
        </w:rPr>
        <w:t xml:space="preserve">, </w:t>
      </w:r>
      <w:r w:rsidR="00CE7A69" w:rsidRPr="00864A95">
        <w:rPr>
          <w:rStyle w:val="Strong"/>
        </w:rPr>
        <w:t>Wednesday 31 March 2021</w:t>
      </w:r>
    </w:p>
    <w:p w14:paraId="1DA5A0CF" w14:textId="2654D205" w:rsidR="00CE7A69" w:rsidRPr="00297124" w:rsidRDefault="00043279" w:rsidP="00297124">
      <w:pPr>
        <w:pStyle w:val="DHHSbullet1"/>
      </w:pPr>
      <w:r>
        <w:t>u</w:t>
      </w:r>
      <w:r w:rsidR="00CE7A69" w:rsidRPr="00297124">
        <w:t>nless exceptional circumstances apply, applications received after the specified time and date will be deemed ineligible for consideration.</w:t>
      </w:r>
    </w:p>
    <w:p w14:paraId="7616DF6A" w14:textId="05E71025" w:rsidR="00CE7A69" w:rsidRDefault="00CE7A69" w:rsidP="00297124">
      <w:pPr>
        <w:pStyle w:val="Heading3"/>
      </w:pPr>
      <w:r>
        <w:t xml:space="preserve">Consultation and </w:t>
      </w:r>
      <w:r w:rsidR="00297124">
        <w:t>a</w:t>
      </w:r>
      <w:r>
        <w:t>dvice</w:t>
      </w:r>
    </w:p>
    <w:p w14:paraId="6685EAE1" w14:textId="3A2C565A" w:rsidR="00CE7A69" w:rsidRDefault="00CE7A69" w:rsidP="00057D0C">
      <w:pPr>
        <w:pStyle w:val="DHHSbullet1"/>
        <w:rPr>
          <w:rFonts w:cs="Arial"/>
        </w:rPr>
      </w:pPr>
      <w:r>
        <w:rPr>
          <w:rFonts w:cs="Arial"/>
        </w:rPr>
        <w:t xml:space="preserve">Applicants are encouraged to seek assistance when preparing applications from the </w:t>
      </w:r>
      <w:hyperlink r:id="rId23" w:history="1">
        <w:r w:rsidRPr="00864A95">
          <w:rPr>
            <w:rStyle w:val="Hyperlink"/>
            <w:rFonts w:cs="Arial"/>
          </w:rPr>
          <w:t>Metropolitan</w:t>
        </w:r>
        <w:r w:rsidRPr="00864A95">
          <w:rPr>
            <w:rStyle w:val="Hyperlink"/>
          </w:rPr>
          <w:t xml:space="preserve"> Health Infrastructure Fund </w:t>
        </w:r>
        <w:r w:rsidRPr="00864A95">
          <w:rPr>
            <w:rStyle w:val="Hyperlink"/>
            <w:rFonts w:cs="Arial"/>
          </w:rPr>
          <w:t>email address</w:t>
        </w:r>
      </w:hyperlink>
      <w:r w:rsidR="00864A95">
        <w:rPr>
          <w:rFonts w:cs="Arial"/>
        </w:rPr>
        <w:t xml:space="preserve"> </w:t>
      </w:r>
      <w:r w:rsidR="00864A95" w:rsidRPr="00864A95">
        <w:rPr>
          <w:rFonts w:cs="Arial"/>
        </w:rPr>
        <w:t>&lt;</w:t>
      </w:r>
      <w:r w:rsidR="00864A95" w:rsidRPr="00864A95">
        <w:rPr>
          <w:rStyle w:val="Hyperlink"/>
          <w:rFonts w:cs="Arial"/>
          <w:color w:val="auto"/>
          <w:u w:val="none"/>
        </w:rPr>
        <w:t>m</w:t>
      </w:r>
      <w:r w:rsidRPr="00864A95">
        <w:t>hif@dhhs.vic.gov.au</w:t>
      </w:r>
      <w:r w:rsidR="00864A95" w:rsidRPr="00864A95">
        <w:t>&gt;</w:t>
      </w:r>
      <w:r w:rsidRPr="00864A95">
        <w:rPr>
          <w:rFonts w:cs="Arial"/>
        </w:rPr>
        <w:t xml:space="preserve">, </w:t>
      </w:r>
      <w:r>
        <w:rPr>
          <w:rFonts w:cs="Arial"/>
        </w:rPr>
        <w:t xml:space="preserve">or via </w:t>
      </w:r>
      <w:r w:rsidR="00864A95">
        <w:rPr>
          <w:rFonts w:cs="Arial"/>
        </w:rPr>
        <w:t xml:space="preserve">the </w:t>
      </w:r>
      <w:hyperlink r:id="rId24" w:history="1">
        <w:r>
          <w:rPr>
            <w:rStyle w:val="Hyperlink"/>
            <w:rFonts w:cs="Arial"/>
          </w:rPr>
          <w:t>Metropolitan Health Infrastructure Fund</w:t>
        </w:r>
      </w:hyperlink>
      <w:r>
        <w:rPr>
          <w:rFonts w:cs="Arial"/>
        </w:rPr>
        <w:t xml:space="preserve"> </w:t>
      </w:r>
      <w:r w:rsidR="00864A95">
        <w:rPr>
          <w:rFonts w:cs="Arial"/>
        </w:rPr>
        <w:t xml:space="preserve">webpage on the Victorian Health and Human Services Building Authority website: </w:t>
      </w:r>
      <w:r>
        <w:t>&lt;</w:t>
      </w:r>
      <w:r w:rsidRPr="00864A95">
        <w:t>https://www.vhhsba.vic.gov.au/health/hospitals/metropolitan-health-infrastructure-fund</w:t>
      </w:r>
      <w:r>
        <w:t>&gt;</w:t>
      </w:r>
    </w:p>
    <w:p w14:paraId="3A909FDE" w14:textId="2FCBB7C5" w:rsidR="00CE7A69" w:rsidRDefault="00CE7A69" w:rsidP="00057D0C">
      <w:pPr>
        <w:pStyle w:val="DHHSbullet1"/>
        <w:rPr>
          <w:rFonts w:eastAsia="MS Mincho"/>
        </w:rPr>
      </w:pPr>
      <w:r>
        <w:t xml:space="preserve">SmartyGrants technical assistance regarding completion of the on-line form can be obtained through reviewing </w:t>
      </w:r>
      <w:r w:rsidR="00057D0C">
        <w:t xml:space="preserve">the </w:t>
      </w:r>
      <w:hyperlink r:id="rId25" w:history="1">
        <w:r w:rsidR="00057D0C" w:rsidRPr="00057D0C">
          <w:rPr>
            <w:rStyle w:val="Hyperlink"/>
          </w:rPr>
          <w:t>SmartyGrants guide for applicants</w:t>
        </w:r>
      </w:hyperlink>
      <w:r w:rsidR="00057D0C">
        <w:t xml:space="preserve"> &lt;</w:t>
      </w:r>
      <w:r w:rsidR="00057D0C" w:rsidRPr="00057D0C">
        <w:t>https://applicanthelp.smartygrants.com.au/help-guide-for-applicants/</w:t>
      </w:r>
      <w:r w:rsidR="00057D0C">
        <w:t xml:space="preserve">&gt; </w:t>
      </w:r>
      <w:r>
        <w:t xml:space="preserve"> or contacting </w:t>
      </w:r>
      <w:hyperlink r:id="rId26" w:history="1">
        <w:r w:rsidRPr="00057D0C">
          <w:rPr>
            <w:rStyle w:val="Hyperlink"/>
            <w:rFonts w:eastAsia="MS Mincho"/>
            <w:iCs/>
          </w:rPr>
          <w:t>SmartyGrants</w:t>
        </w:r>
        <w:r w:rsidRPr="00057D0C">
          <w:rPr>
            <w:rStyle w:val="Hyperlink"/>
            <w:iCs/>
          </w:rPr>
          <w:t xml:space="preserve"> </w:t>
        </w:r>
        <w:r w:rsidRPr="00057D0C">
          <w:rPr>
            <w:rStyle w:val="Hyperlink"/>
          </w:rPr>
          <w:t>via email</w:t>
        </w:r>
      </w:hyperlink>
      <w:r>
        <w:t xml:space="preserve"> </w:t>
      </w:r>
      <w:r w:rsidR="00057D0C">
        <w:t>&lt;</w:t>
      </w:r>
      <w:r w:rsidRPr="00057D0C">
        <w:t>service@smarty.grants.com.au</w:t>
      </w:r>
      <w:r w:rsidR="00057D0C">
        <w:t>&gt;</w:t>
      </w:r>
      <w:r>
        <w:rPr>
          <w:rFonts w:eastAsia="MS Mincho"/>
        </w:rPr>
        <w:t>, or calling (03) 9320 6888.</w:t>
      </w:r>
    </w:p>
    <w:p w14:paraId="5951D13A" w14:textId="77777777" w:rsidR="00CE7A69" w:rsidRDefault="00CE7A69" w:rsidP="00297124">
      <w:pPr>
        <w:pStyle w:val="Heading3"/>
      </w:pPr>
      <w:r>
        <w:lastRenderedPageBreak/>
        <w:t xml:space="preserve">Design guides and technical references </w:t>
      </w:r>
    </w:p>
    <w:p w14:paraId="32D48626" w14:textId="08417199" w:rsidR="00CE7A69" w:rsidRDefault="00CE7A69" w:rsidP="00CE7A69">
      <w:pPr>
        <w:pStyle w:val="DHHSbody"/>
        <w:rPr>
          <w:rFonts w:cs="Arial"/>
        </w:rPr>
      </w:pPr>
      <w:r>
        <w:rPr>
          <w:rFonts w:cs="Arial"/>
        </w:rPr>
        <w:t>See Appendix 1</w:t>
      </w:r>
      <w:r w:rsidR="00043279">
        <w:rPr>
          <w:rFonts w:cs="Arial"/>
        </w:rPr>
        <w:t xml:space="preserve">: </w:t>
      </w:r>
      <w:r>
        <w:rPr>
          <w:rFonts w:cs="Arial"/>
        </w:rPr>
        <w:t>Construction Projects in Victoria - References and links for VHHSBA design and technical guidelines.</w:t>
      </w:r>
    </w:p>
    <w:p w14:paraId="1E2B1EBF" w14:textId="505132C2" w:rsidR="00CE7A69" w:rsidRDefault="00CE7A69" w:rsidP="00CE7A69">
      <w:pPr>
        <w:pStyle w:val="Heading1"/>
      </w:pPr>
      <w:bookmarkStart w:id="21" w:name="_Toc57386772"/>
      <w:bookmarkStart w:id="22" w:name="_Toc64016574"/>
      <w:bookmarkEnd w:id="16"/>
      <w:r>
        <w:t xml:space="preserve">Assessment </w:t>
      </w:r>
      <w:r w:rsidR="00297124">
        <w:t>c</w:t>
      </w:r>
      <w:r>
        <w:t>riteria</w:t>
      </w:r>
      <w:bookmarkEnd w:id="21"/>
      <w:bookmarkEnd w:id="22"/>
    </w:p>
    <w:p w14:paraId="77474F0A" w14:textId="77777777" w:rsidR="00CE7A69" w:rsidRDefault="00CE7A69" w:rsidP="00CE7A69">
      <w:pPr>
        <w:pStyle w:val="DHHSbody"/>
        <w:rPr>
          <w:rFonts w:eastAsiaTheme="minorEastAsia" w:cs="Arial"/>
        </w:rPr>
      </w:pPr>
      <w:r>
        <w:rPr>
          <w:rFonts w:cs="Arial"/>
        </w:rPr>
        <w:t xml:space="preserve">Applications will be assessed in a panel arrangement using a defined set of assessment criteria. Submissions should reflect agreed policy objectives and demonstrate how the proposed works will meet the objectives of better health for people in Victoria. </w:t>
      </w:r>
    </w:p>
    <w:p w14:paraId="05B021AE" w14:textId="77777777" w:rsidR="00CE7A69" w:rsidRDefault="00CE7A69" w:rsidP="00CE7A69">
      <w:pPr>
        <w:pStyle w:val="DHHSbody"/>
        <w:rPr>
          <w:rFonts w:eastAsiaTheme="minorEastAsia" w:cs="Arial"/>
        </w:rPr>
      </w:pPr>
      <w:r>
        <w:rPr>
          <w:rFonts w:cs="Arial"/>
        </w:rPr>
        <w:t>Applications should demonstrate:</w:t>
      </w:r>
    </w:p>
    <w:p w14:paraId="5108CB2E" w14:textId="77777777" w:rsidR="00CE7A69" w:rsidRPr="003E1CC6" w:rsidRDefault="00CE7A69" w:rsidP="003E1CC6">
      <w:pPr>
        <w:pStyle w:val="DHHSbullet1"/>
      </w:pPr>
      <w:r w:rsidRPr="003E1CC6">
        <w:t>How the proposed changes will improve health services for people in metropolitan Melbourne</w:t>
      </w:r>
    </w:p>
    <w:p w14:paraId="59677BAD" w14:textId="64588A49" w:rsidR="00CE7A69" w:rsidRPr="003E1CC6" w:rsidRDefault="00CE7A69" w:rsidP="003E1CC6">
      <w:pPr>
        <w:pStyle w:val="DHHSbullet1"/>
      </w:pPr>
      <w:r w:rsidRPr="003E1CC6">
        <w:t xml:space="preserve">Alignment with the government’s commitments and policies, for example: </w:t>
      </w:r>
      <w:r w:rsidRPr="00043279">
        <w:rPr>
          <w:i/>
          <w:iCs/>
        </w:rPr>
        <w:t>Health 2040</w:t>
      </w:r>
      <w:r w:rsidRPr="003E1CC6">
        <w:t xml:space="preserve">, </w:t>
      </w:r>
      <w:r w:rsidRPr="00043279">
        <w:rPr>
          <w:i/>
          <w:iCs/>
        </w:rPr>
        <w:t xml:space="preserve">Statewide </w:t>
      </w:r>
      <w:r w:rsidR="00043279" w:rsidRPr="00043279">
        <w:rPr>
          <w:i/>
          <w:iCs/>
        </w:rPr>
        <w:t>design, service and infrastructure p</w:t>
      </w:r>
      <w:r w:rsidRPr="00043279">
        <w:rPr>
          <w:i/>
          <w:iCs/>
        </w:rPr>
        <w:t>lan</w:t>
      </w:r>
      <w:r w:rsidRPr="003E1CC6">
        <w:t xml:space="preserve"> and </w:t>
      </w:r>
      <w:r w:rsidRPr="00043279">
        <w:rPr>
          <w:i/>
          <w:iCs/>
        </w:rPr>
        <w:t>Royal Commission into Victoria’s Mental Health System</w:t>
      </w:r>
    </w:p>
    <w:p w14:paraId="72007F20" w14:textId="77777777" w:rsidR="00CE7A69" w:rsidRPr="003E1CC6" w:rsidRDefault="00CE7A69" w:rsidP="003E1CC6">
      <w:pPr>
        <w:pStyle w:val="DHHSbullet1"/>
      </w:pPr>
      <w:r w:rsidRPr="003E1CC6">
        <w:t xml:space="preserve">Anticipated key milestone dates in accordance with the payment schedule milestones </w:t>
      </w:r>
    </w:p>
    <w:p w14:paraId="1819E251" w14:textId="77777777" w:rsidR="00CE7A69" w:rsidRPr="003E1CC6" w:rsidRDefault="00CE7A69" w:rsidP="003E1CC6">
      <w:pPr>
        <w:pStyle w:val="DHHSbullet1"/>
      </w:pPr>
      <w:r w:rsidRPr="003E1CC6">
        <w:t>How any risks have been identified and mitigation strategies to address these</w:t>
      </w:r>
    </w:p>
    <w:p w14:paraId="340C0249" w14:textId="55A7E1E3" w:rsidR="00CE7A69" w:rsidRPr="003E1CC6" w:rsidRDefault="00CE7A69" w:rsidP="003E1CC6">
      <w:pPr>
        <w:pStyle w:val="DHHSbullet1"/>
      </w:pPr>
      <w:r w:rsidRPr="003E1CC6">
        <w:t>Evidence to support the problem / issue / risk or opportunity</w:t>
      </w:r>
      <w:r w:rsidR="003E1CC6">
        <w:t>:</w:t>
      </w:r>
    </w:p>
    <w:p w14:paraId="4BC08196" w14:textId="77777777" w:rsidR="00CE7A69" w:rsidRDefault="00CE7A69" w:rsidP="00CE7A69">
      <w:pPr>
        <w:pStyle w:val="ListParagraph"/>
        <w:numPr>
          <w:ilvl w:val="1"/>
          <w:numId w:val="34"/>
        </w:numPr>
        <w:spacing w:line="276" w:lineRule="auto"/>
        <w:ind w:left="567" w:hanging="283"/>
        <w:rPr>
          <w:rFonts w:ascii="Arial" w:eastAsia="Times" w:hAnsi="Arial" w:cs="Arial"/>
        </w:rPr>
      </w:pPr>
      <w:r>
        <w:rPr>
          <w:rFonts w:ascii="Arial" w:eastAsia="Times" w:hAnsi="Arial" w:cs="Arial"/>
        </w:rPr>
        <w:t>Incident data</w:t>
      </w:r>
    </w:p>
    <w:p w14:paraId="333833E1" w14:textId="77777777" w:rsidR="00CE7A69" w:rsidRDefault="00CE7A69" w:rsidP="00CE7A69">
      <w:pPr>
        <w:pStyle w:val="ListParagraph"/>
        <w:numPr>
          <w:ilvl w:val="1"/>
          <w:numId w:val="34"/>
        </w:numPr>
        <w:spacing w:line="276" w:lineRule="auto"/>
        <w:ind w:left="567" w:hanging="283"/>
        <w:rPr>
          <w:rFonts w:ascii="Arial" w:eastAsia="Times" w:hAnsi="Arial" w:cs="Arial"/>
        </w:rPr>
      </w:pPr>
      <w:r>
        <w:rPr>
          <w:rFonts w:ascii="Arial" w:eastAsia="Times" w:hAnsi="Arial" w:cs="Arial"/>
        </w:rPr>
        <w:t>Safer Care Victoria report</w:t>
      </w:r>
    </w:p>
    <w:p w14:paraId="0E2B1728" w14:textId="77777777" w:rsidR="00CE7A69" w:rsidRDefault="00CE7A69" w:rsidP="00CE7A69">
      <w:pPr>
        <w:pStyle w:val="ListParagraph"/>
        <w:numPr>
          <w:ilvl w:val="1"/>
          <w:numId w:val="34"/>
        </w:numPr>
        <w:spacing w:line="276" w:lineRule="auto"/>
        <w:ind w:left="567" w:hanging="283"/>
        <w:rPr>
          <w:rFonts w:ascii="Arial" w:eastAsia="Times" w:hAnsi="Arial" w:cs="Arial"/>
        </w:rPr>
      </w:pPr>
      <w:r>
        <w:rPr>
          <w:rFonts w:ascii="Arial" w:eastAsia="Times" w:hAnsi="Arial" w:cs="Arial"/>
        </w:rPr>
        <w:t>Independent reports from specialists detailing current risks and or issues and how the project will address these</w:t>
      </w:r>
    </w:p>
    <w:p w14:paraId="262419E6" w14:textId="77777777" w:rsidR="00CE7A69" w:rsidRPr="003E1CC6" w:rsidRDefault="00CE7A69" w:rsidP="003E1CC6">
      <w:pPr>
        <w:pStyle w:val="DHHSbullet1"/>
      </w:pPr>
      <w:r w:rsidRPr="003E1CC6">
        <w:t>Describe the benefits your project is expected to achieve supported by metrics / data to measure current performance and targeted outcomes, with timelines based on the successful delivery of the project, for example improved patient services.</w:t>
      </w:r>
    </w:p>
    <w:p w14:paraId="52024127" w14:textId="77777777" w:rsidR="00CE7A69" w:rsidRDefault="00CE7A69" w:rsidP="00043279">
      <w:pPr>
        <w:pStyle w:val="DHHSbodyafterbullets"/>
        <w:spacing w:after="240"/>
      </w:pPr>
      <w:r>
        <w:t>The following criteria will be applied to assess the application and will be considered with the evidence provided. Applications that address multiple criteria are at a distinct advantage. It is expected that all design solutions will be consistent with VHHSBA’s design guidelines and Health Technical Advice.</w:t>
      </w:r>
    </w:p>
    <w:tbl>
      <w:tblPr>
        <w:tblW w:w="0" w:type="auto"/>
        <w:tblLayout w:type="fixed"/>
        <w:tblLook w:val="04A0" w:firstRow="1" w:lastRow="0" w:firstColumn="1" w:lastColumn="0" w:noHBand="0" w:noVBand="1"/>
      </w:tblPr>
      <w:tblGrid>
        <w:gridCol w:w="392"/>
        <w:gridCol w:w="1984"/>
        <w:gridCol w:w="6096"/>
        <w:gridCol w:w="1564"/>
      </w:tblGrid>
      <w:tr w:rsidR="00CE7A69" w14:paraId="5C710B58" w14:textId="77777777" w:rsidTr="003E1CC6">
        <w:tc>
          <w:tcPr>
            <w:tcW w:w="392" w:type="dxa"/>
            <w:shd w:val="clear" w:color="auto" w:fill="0074BC" w:themeFill="text2"/>
            <w:hideMark/>
          </w:tcPr>
          <w:p w14:paraId="46F6EF84" w14:textId="0D43E318" w:rsidR="00CE7A69" w:rsidRDefault="003E1CC6" w:rsidP="00297124">
            <w:pPr>
              <w:pStyle w:val="DHHStablecolhead"/>
            </w:pPr>
            <w:bookmarkStart w:id="23" w:name="_Hlk63863649"/>
            <w:r>
              <w:t>#</w:t>
            </w:r>
          </w:p>
        </w:tc>
        <w:tc>
          <w:tcPr>
            <w:tcW w:w="1984" w:type="dxa"/>
            <w:shd w:val="clear" w:color="auto" w:fill="0074BC" w:themeFill="text2"/>
            <w:hideMark/>
          </w:tcPr>
          <w:p w14:paraId="0A4F6ECD" w14:textId="77777777" w:rsidR="00CE7A69" w:rsidRDefault="00CE7A69" w:rsidP="00297124">
            <w:pPr>
              <w:pStyle w:val="DHHStablecolhead"/>
            </w:pPr>
            <w:r>
              <w:t>Criteria</w:t>
            </w:r>
          </w:p>
        </w:tc>
        <w:tc>
          <w:tcPr>
            <w:tcW w:w="6096" w:type="dxa"/>
            <w:shd w:val="clear" w:color="auto" w:fill="0074BC" w:themeFill="text2"/>
            <w:hideMark/>
          </w:tcPr>
          <w:p w14:paraId="245A6BC4" w14:textId="77777777" w:rsidR="00CE7A69" w:rsidRDefault="00CE7A69" w:rsidP="00297124">
            <w:pPr>
              <w:pStyle w:val="DHHStablecolhead"/>
            </w:pPr>
            <w:r>
              <w:t>Descriptor</w:t>
            </w:r>
          </w:p>
        </w:tc>
        <w:tc>
          <w:tcPr>
            <w:tcW w:w="1564" w:type="dxa"/>
            <w:shd w:val="clear" w:color="auto" w:fill="0074BC" w:themeFill="text2"/>
            <w:hideMark/>
          </w:tcPr>
          <w:p w14:paraId="3BE50802" w14:textId="77777777" w:rsidR="00CE7A69" w:rsidRDefault="00CE7A69" w:rsidP="00297124">
            <w:pPr>
              <w:pStyle w:val="DHHStablecolhead"/>
            </w:pPr>
            <w:r>
              <w:t>Weighting</w:t>
            </w:r>
          </w:p>
        </w:tc>
      </w:tr>
      <w:tr w:rsidR="00CE7A69" w14:paraId="3831B158" w14:textId="77777777" w:rsidTr="00057D0C">
        <w:trPr>
          <w:trHeight w:val="791"/>
        </w:trPr>
        <w:tc>
          <w:tcPr>
            <w:tcW w:w="392" w:type="dxa"/>
            <w:tcBorders>
              <w:bottom w:val="single" w:sz="4" w:space="0" w:color="0074BC" w:themeColor="accent1"/>
            </w:tcBorders>
            <w:shd w:val="clear" w:color="auto" w:fill="BEE6FF" w:themeFill="text2" w:themeFillTint="33"/>
            <w:hideMark/>
          </w:tcPr>
          <w:p w14:paraId="77CD07E8" w14:textId="76E26B04" w:rsidR="00CE7A69" w:rsidRDefault="00CE7A69" w:rsidP="00297124">
            <w:pPr>
              <w:pStyle w:val="DHHStabletext"/>
              <w:rPr>
                <w:b/>
                <w:bCs/>
              </w:rPr>
            </w:pPr>
            <w:r>
              <w:rPr>
                <w:b/>
                <w:bCs/>
              </w:rPr>
              <w:t>1</w:t>
            </w:r>
          </w:p>
        </w:tc>
        <w:tc>
          <w:tcPr>
            <w:tcW w:w="1984" w:type="dxa"/>
            <w:tcBorders>
              <w:bottom w:val="single" w:sz="4" w:space="0" w:color="0074BC" w:themeColor="accent1"/>
            </w:tcBorders>
            <w:shd w:val="clear" w:color="auto" w:fill="BEE6FF" w:themeFill="text2" w:themeFillTint="33"/>
            <w:hideMark/>
          </w:tcPr>
          <w:p w14:paraId="0FB5406D" w14:textId="77777777" w:rsidR="00CE7A69" w:rsidRPr="003E1CC6" w:rsidRDefault="00CE7A69" w:rsidP="00297124">
            <w:pPr>
              <w:pStyle w:val="DHHStabletext"/>
              <w:rPr>
                <w:rStyle w:val="Strong"/>
              </w:rPr>
            </w:pPr>
            <w:r w:rsidRPr="003E1CC6">
              <w:rPr>
                <w:rStyle w:val="Strong"/>
              </w:rPr>
              <w:t>Strategic alignment</w:t>
            </w:r>
          </w:p>
        </w:tc>
        <w:tc>
          <w:tcPr>
            <w:tcW w:w="6096" w:type="dxa"/>
            <w:tcBorders>
              <w:bottom w:val="single" w:sz="4" w:space="0" w:color="0074BC" w:themeColor="accent1"/>
            </w:tcBorders>
            <w:shd w:val="clear" w:color="auto" w:fill="auto"/>
            <w:hideMark/>
          </w:tcPr>
          <w:p w14:paraId="377553DD" w14:textId="77777777" w:rsidR="00CE7A69" w:rsidRDefault="00CE7A69" w:rsidP="00297124">
            <w:pPr>
              <w:pStyle w:val="DHHStablebullet1"/>
            </w:pPr>
            <w:r>
              <w:t xml:space="preserve">Alignment with government commitments and policies </w:t>
            </w:r>
          </w:p>
          <w:p w14:paraId="2B1F1CF4" w14:textId="77777777" w:rsidR="00CE7A69" w:rsidRDefault="00CE7A69" w:rsidP="00297124">
            <w:pPr>
              <w:pStyle w:val="DHHStablebullet1"/>
            </w:pPr>
            <w:r>
              <w:t>Alignment with:</w:t>
            </w:r>
          </w:p>
          <w:p w14:paraId="63A6840C" w14:textId="77777777" w:rsidR="00CE7A69" w:rsidRDefault="00CE7A69" w:rsidP="00297124">
            <w:pPr>
              <w:pStyle w:val="DHHStablebullet2"/>
            </w:pPr>
            <w:r>
              <w:t xml:space="preserve">strategic plan </w:t>
            </w:r>
          </w:p>
          <w:p w14:paraId="06249E2C" w14:textId="77777777" w:rsidR="00CE7A69" w:rsidRDefault="00CE7A69" w:rsidP="00297124">
            <w:pPr>
              <w:pStyle w:val="DHHStablebullet2"/>
            </w:pPr>
            <w:r>
              <w:t>statement of priorities</w:t>
            </w:r>
          </w:p>
          <w:p w14:paraId="45D4C158" w14:textId="77777777" w:rsidR="00CE7A69" w:rsidRDefault="00CE7A69" w:rsidP="00297124">
            <w:pPr>
              <w:pStyle w:val="DHHStablebullet2"/>
            </w:pPr>
            <w:r>
              <w:t>service plan and master plan (where relevant)</w:t>
            </w:r>
          </w:p>
        </w:tc>
        <w:tc>
          <w:tcPr>
            <w:tcW w:w="1564" w:type="dxa"/>
            <w:tcBorders>
              <w:bottom w:val="single" w:sz="4" w:space="0" w:color="0074BC" w:themeColor="accent1"/>
            </w:tcBorders>
            <w:shd w:val="clear" w:color="auto" w:fill="auto"/>
            <w:hideMark/>
          </w:tcPr>
          <w:p w14:paraId="0E0A3220" w14:textId="77777777" w:rsidR="00CE7A69" w:rsidRDefault="00CE7A69" w:rsidP="00297124">
            <w:pPr>
              <w:pStyle w:val="DHHStabletext"/>
            </w:pPr>
            <w:r>
              <w:t>33.33%</w:t>
            </w:r>
          </w:p>
        </w:tc>
      </w:tr>
      <w:tr w:rsidR="00CE7A69" w14:paraId="06D4423D" w14:textId="77777777" w:rsidTr="00057D0C">
        <w:tc>
          <w:tcPr>
            <w:tcW w:w="392" w:type="dxa"/>
            <w:tcBorders>
              <w:top w:val="single" w:sz="4" w:space="0" w:color="0074BC" w:themeColor="accent1"/>
              <w:bottom w:val="single" w:sz="4" w:space="0" w:color="0074BC" w:themeColor="accent1"/>
            </w:tcBorders>
            <w:shd w:val="clear" w:color="auto" w:fill="BEE6FF" w:themeFill="text2" w:themeFillTint="33"/>
            <w:hideMark/>
          </w:tcPr>
          <w:p w14:paraId="656D4DE4" w14:textId="13D2CACE" w:rsidR="00CE7A69" w:rsidRDefault="00CE7A69" w:rsidP="00297124">
            <w:pPr>
              <w:pStyle w:val="DHHStabletext"/>
              <w:rPr>
                <w:b/>
                <w:bCs/>
              </w:rPr>
            </w:pPr>
            <w:r>
              <w:rPr>
                <w:b/>
                <w:bCs/>
              </w:rPr>
              <w:t>2</w:t>
            </w:r>
          </w:p>
        </w:tc>
        <w:tc>
          <w:tcPr>
            <w:tcW w:w="1984" w:type="dxa"/>
            <w:tcBorders>
              <w:top w:val="single" w:sz="4" w:space="0" w:color="0074BC" w:themeColor="accent1"/>
              <w:bottom w:val="single" w:sz="4" w:space="0" w:color="0074BC" w:themeColor="accent1"/>
            </w:tcBorders>
            <w:shd w:val="clear" w:color="auto" w:fill="BEE6FF" w:themeFill="text2" w:themeFillTint="33"/>
            <w:hideMark/>
          </w:tcPr>
          <w:p w14:paraId="2D520443" w14:textId="77777777" w:rsidR="00CE7A69" w:rsidRPr="003E1CC6" w:rsidRDefault="00CE7A69" w:rsidP="00297124">
            <w:pPr>
              <w:pStyle w:val="DHHStabletext"/>
              <w:rPr>
                <w:rStyle w:val="Strong"/>
              </w:rPr>
            </w:pPr>
            <w:r w:rsidRPr="003E1CC6">
              <w:rPr>
                <w:rStyle w:val="Strong"/>
              </w:rPr>
              <w:t xml:space="preserve">Service efficiency and demand pressure </w:t>
            </w:r>
          </w:p>
        </w:tc>
        <w:tc>
          <w:tcPr>
            <w:tcW w:w="6096" w:type="dxa"/>
            <w:tcBorders>
              <w:top w:val="single" w:sz="4" w:space="0" w:color="0074BC" w:themeColor="accent1"/>
              <w:bottom w:val="single" w:sz="4" w:space="0" w:color="0074BC" w:themeColor="accent1"/>
            </w:tcBorders>
            <w:shd w:val="clear" w:color="auto" w:fill="auto"/>
            <w:hideMark/>
          </w:tcPr>
          <w:p w14:paraId="3E7A4F6A" w14:textId="77777777" w:rsidR="00CE7A69" w:rsidRDefault="00CE7A69" w:rsidP="00297124">
            <w:pPr>
              <w:pStyle w:val="DHHStabletext"/>
            </w:pPr>
            <w:r>
              <w:t xml:space="preserve">Addresses </w:t>
            </w:r>
            <w:r>
              <w:rPr>
                <w:b/>
              </w:rPr>
              <w:t>one or more</w:t>
            </w:r>
            <w:r>
              <w:t xml:space="preserve"> of the following:</w:t>
            </w:r>
          </w:p>
          <w:p w14:paraId="75455D83" w14:textId="5F671B99" w:rsidR="00CE7A69" w:rsidRDefault="003E1CC6" w:rsidP="00297124">
            <w:pPr>
              <w:pStyle w:val="DHHStablebullet1"/>
            </w:pPr>
            <w:r>
              <w:t>service capacity (for example, improved service options, reduced service fragmentation)</w:t>
            </w:r>
          </w:p>
          <w:p w14:paraId="012159CA" w14:textId="7252E15C" w:rsidR="00CE7A69" w:rsidRDefault="003E1CC6" w:rsidP="00297124">
            <w:pPr>
              <w:pStyle w:val="DHHStablebullet1"/>
            </w:pPr>
            <w:r>
              <w:t>demand pressure</w:t>
            </w:r>
          </w:p>
          <w:p w14:paraId="777E3CC6" w14:textId="5651436B" w:rsidR="00CE7A69" w:rsidRDefault="003E1CC6" w:rsidP="00297124">
            <w:pPr>
              <w:pStyle w:val="DHHStablebullet1"/>
            </w:pPr>
            <w:r>
              <w:t>models of care (for example contemporary models of care / improved services closer to home)</w:t>
            </w:r>
          </w:p>
          <w:p w14:paraId="40EE6015" w14:textId="006E01AC" w:rsidR="00CE7A69" w:rsidRDefault="003E1CC6" w:rsidP="00297124">
            <w:pPr>
              <w:pStyle w:val="DHHStablebullet1"/>
            </w:pPr>
            <w:r>
              <w:t>service efficiency of targeted services</w:t>
            </w:r>
          </w:p>
          <w:p w14:paraId="13E8D714" w14:textId="12BEC0B7" w:rsidR="00CE7A69" w:rsidRDefault="003E1CC6" w:rsidP="00297124">
            <w:pPr>
              <w:pStyle w:val="DHHStablebullet1"/>
            </w:pPr>
            <w:r>
              <w:t>efficiency (for example, new infrastructure, equipment and technology)</w:t>
            </w:r>
          </w:p>
          <w:p w14:paraId="668FDEC0" w14:textId="39DAC08E" w:rsidR="00CE7A69" w:rsidRDefault="003E1CC6" w:rsidP="00297124">
            <w:pPr>
              <w:pStyle w:val="DHHStablebullet1"/>
            </w:pPr>
            <w:r>
              <w:t xml:space="preserve">health </w:t>
            </w:r>
            <w:r w:rsidR="00CE7A69">
              <w:t>care improvement to your health service</w:t>
            </w:r>
          </w:p>
        </w:tc>
        <w:tc>
          <w:tcPr>
            <w:tcW w:w="1564" w:type="dxa"/>
            <w:tcBorders>
              <w:top w:val="single" w:sz="4" w:space="0" w:color="0074BC" w:themeColor="accent1"/>
              <w:bottom w:val="single" w:sz="4" w:space="0" w:color="0074BC" w:themeColor="accent1"/>
            </w:tcBorders>
            <w:shd w:val="clear" w:color="auto" w:fill="auto"/>
            <w:hideMark/>
          </w:tcPr>
          <w:p w14:paraId="38614657" w14:textId="77777777" w:rsidR="00CE7A69" w:rsidRDefault="00CE7A69" w:rsidP="00297124">
            <w:pPr>
              <w:pStyle w:val="DHHStabletext"/>
            </w:pPr>
            <w:r>
              <w:t>33.33%</w:t>
            </w:r>
          </w:p>
        </w:tc>
      </w:tr>
      <w:tr w:rsidR="00CE7A69" w14:paraId="26E47F83" w14:textId="77777777" w:rsidTr="00057D0C">
        <w:tc>
          <w:tcPr>
            <w:tcW w:w="392" w:type="dxa"/>
            <w:tcBorders>
              <w:top w:val="single" w:sz="4" w:space="0" w:color="0074BC" w:themeColor="accent1"/>
              <w:bottom w:val="single" w:sz="4" w:space="0" w:color="0074BC" w:themeColor="accent1"/>
            </w:tcBorders>
            <w:shd w:val="clear" w:color="auto" w:fill="BEE6FF" w:themeFill="text2" w:themeFillTint="33"/>
            <w:hideMark/>
          </w:tcPr>
          <w:p w14:paraId="17FDCE58" w14:textId="18BB0DB7" w:rsidR="00CE7A69" w:rsidRDefault="00CE7A69" w:rsidP="00297124">
            <w:pPr>
              <w:pStyle w:val="DHHStabletext"/>
              <w:rPr>
                <w:b/>
                <w:bCs/>
              </w:rPr>
            </w:pPr>
            <w:r>
              <w:rPr>
                <w:b/>
                <w:bCs/>
              </w:rPr>
              <w:t>3</w:t>
            </w:r>
          </w:p>
        </w:tc>
        <w:tc>
          <w:tcPr>
            <w:tcW w:w="1984" w:type="dxa"/>
            <w:tcBorders>
              <w:top w:val="single" w:sz="4" w:space="0" w:color="0074BC" w:themeColor="accent1"/>
              <w:bottom w:val="single" w:sz="4" w:space="0" w:color="0074BC" w:themeColor="accent1"/>
            </w:tcBorders>
            <w:shd w:val="clear" w:color="auto" w:fill="BEE6FF" w:themeFill="text2" w:themeFillTint="33"/>
            <w:hideMark/>
          </w:tcPr>
          <w:p w14:paraId="7EE1B193" w14:textId="77777777" w:rsidR="00CE7A69" w:rsidRPr="003E1CC6" w:rsidRDefault="00CE7A69" w:rsidP="00297124">
            <w:pPr>
              <w:pStyle w:val="DHHStabletext"/>
              <w:rPr>
                <w:rStyle w:val="Strong"/>
              </w:rPr>
            </w:pPr>
            <w:r w:rsidRPr="003E1CC6">
              <w:rPr>
                <w:rStyle w:val="Strong"/>
              </w:rPr>
              <w:t>Healthcare quality and safety improvement</w:t>
            </w:r>
          </w:p>
        </w:tc>
        <w:tc>
          <w:tcPr>
            <w:tcW w:w="6096" w:type="dxa"/>
            <w:tcBorders>
              <w:top w:val="single" w:sz="4" w:space="0" w:color="0074BC" w:themeColor="accent1"/>
              <w:bottom w:val="single" w:sz="4" w:space="0" w:color="0074BC" w:themeColor="accent1"/>
            </w:tcBorders>
            <w:shd w:val="clear" w:color="auto" w:fill="auto"/>
            <w:hideMark/>
          </w:tcPr>
          <w:p w14:paraId="336649AB" w14:textId="77777777" w:rsidR="00CE7A69" w:rsidRDefault="00CE7A69" w:rsidP="00297124">
            <w:pPr>
              <w:pStyle w:val="DHHStabletext"/>
            </w:pPr>
            <w:r>
              <w:t xml:space="preserve">Addresses </w:t>
            </w:r>
            <w:r>
              <w:rPr>
                <w:b/>
              </w:rPr>
              <w:t>one</w:t>
            </w:r>
            <w:r>
              <w:t xml:space="preserve"> </w:t>
            </w:r>
            <w:r>
              <w:rPr>
                <w:b/>
              </w:rPr>
              <w:t>or more</w:t>
            </w:r>
            <w:r>
              <w:t xml:space="preserve"> of the following </w:t>
            </w:r>
          </w:p>
          <w:p w14:paraId="7624E2EF" w14:textId="3279F4D3" w:rsidR="00CE7A69" w:rsidRDefault="003E1CC6" w:rsidP="00297124">
            <w:pPr>
              <w:pStyle w:val="DHHStablebullet1"/>
            </w:pPr>
            <w:r>
              <w:t>regulatory compliance</w:t>
            </w:r>
          </w:p>
          <w:p w14:paraId="0022E569" w14:textId="497AB0C6" w:rsidR="00CE7A69" w:rsidRDefault="003E1CC6" w:rsidP="00297124">
            <w:pPr>
              <w:pStyle w:val="DHHStablebullet1"/>
            </w:pPr>
            <w:r>
              <w:t>standards compliance</w:t>
            </w:r>
          </w:p>
          <w:p w14:paraId="55C7A6EA" w14:textId="7449EF31" w:rsidR="00CE7A69" w:rsidRDefault="003E1CC6" w:rsidP="00297124">
            <w:pPr>
              <w:pStyle w:val="DHHStablebullet1"/>
            </w:pPr>
            <w:r>
              <w:t>patient and staff amenity</w:t>
            </w:r>
          </w:p>
          <w:p w14:paraId="675B3A92" w14:textId="2796BE6D" w:rsidR="00CE7A69" w:rsidRDefault="003E1CC6" w:rsidP="00297124">
            <w:pPr>
              <w:pStyle w:val="DHHStablebullet1"/>
            </w:pPr>
            <w:r>
              <w:t>safety, quality</w:t>
            </w:r>
          </w:p>
          <w:p w14:paraId="31E2D9EB" w14:textId="6A5306DE" w:rsidR="00CE7A69" w:rsidRDefault="003E1CC6" w:rsidP="00297124">
            <w:pPr>
              <w:pStyle w:val="DHHStablebullet1"/>
            </w:pPr>
            <w:r>
              <w:t xml:space="preserve">risk </w:t>
            </w:r>
          </w:p>
        </w:tc>
        <w:tc>
          <w:tcPr>
            <w:tcW w:w="1564" w:type="dxa"/>
            <w:tcBorders>
              <w:top w:val="single" w:sz="4" w:space="0" w:color="0074BC" w:themeColor="accent1"/>
              <w:bottom w:val="single" w:sz="4" w:space="0" w:color="0074BC" w:themeColor="accent1"/>
            </w:tcBorders>
            <w:shd w:val="clear" w:color="auto" w:fill="auto"/>
            <w:hideMark/>
          </w:tcPr>
          <w:p w14:paraId="66CECEE8" w14:textId="77777777" w:rsidR="00CE7A69" w:rsidRDefault="00CE7A69" w:rsidP="00297124">
            <w:pPr>
              <w:pStyle w:val="DHHStabletext"/>
            </w:pPr>
            <w:r>
              <w:t>33.33%</w:t>
            </w:r>
          </w:p>
        </w:tc>
      </w:tr>
      <w:tr w:rsidR="00CE7A69" w14:paraId="32E8A6C0" w14:textId="77777777" w:rsidTr="003E1CC6">
        <w:tc>
          <w:tcPr>
            <w:tcW w:w="392" w:type="dxa"/>
            <w:tcBorders>
              <w:top w:val="single" w:sz="4" w:space="0" w:color="0074BC" w:themeColor="accent1"/>
              <w:bottom w:val="single" w:sz="4" w:space="0" w:color="0074BC" w:themeColor="accent1"/>
            </w:tcBorders>
            <w:shd w:val="clear" w:color="auto" w:fill="BEE6FF" w:themeFill="text2" w:themeFillTint="33"/>
            <w:hideMark/>
          </w:tcPr>
          <w:p w14:paraId="26FC8747" w14:textId="5B09E6E4" w:rsidR="00CE7A69" w:rsidRDefault="00CE7A69" w:rsidP="00297124">
            <w:pPr>
              <w:pStyle w:val="DHHStabletext"/>
              <w:rPr>
                <w:b/>
                <w:bCs/>
              </w:rPr>
            </w:pPr>
            <w:r>
              <w:rPr>
                <w:b/>
                <w:bCs/>
              </w:rPr>
              <w:lastRenderedPageBreak/>
              <w:t>4</w:t>
            </w:r>
          </w:p>
        </w:tc>
        <w:tc>
          <w:tcPr>
            <w:tcW w:w="1984" w:type="dxa"/>
            <w:tcBorders>
              <w:top w:val="single" w:sz="4" w:space="0" w:color="0074BC" w:themeColor="accent1"/>
              <w:bottom w:val="single" w:sz="4" w:space="0" w:color="0074BC" w:themeColor="accent1"/>
            </w:tcBorders>
            <w:shd w:val="clear" w:color="auto" w:fill="BEE6FF" w:themeFill="text2" w:themeFillTint="33"/>
            <w:hideMark/>
          </w:tcPr>
          <w:p w14:paraId="40DE7B98" w14:textId="77777777" w:rsidR="00CE7A69" w:rsidRPr="003E1CC6" w:rsidRDefault="00CE7A69" w:rsidP="00297124">
            <w:pPr>
              <w:pStyle w:val="DHHStabletext"/>
              <w:rPr>
                <w:rStyle w:val="Strong"/>
              </w:rPr>
            </w:pPr>
            <w:r w:rsidRPr="003E1CC6">
              <w:rPr>
                <w:rStyle w:val="Strong"/>
              </w:rPr>
              <w:t>Project readiness</w:t>
            </w:r>
          </w:p>
        </w:tc>
        <w:tc>
          <w:tcPr>
            <w:tcW w:w="6096" w:type="dxa"/>
            <w:tcBorders>
              <w:top w:val="single" w:sz="4" w:space="0" w:color="0074BC" w:themeColor="accent1"/>
              <w:bottom w:val="single" w:sz="4" w:space="0" w:color="0074BC" w:themeColor="accent1"/>
            </w:tcBorders>
            <w:hideMark/>
          </w:tcPr>
          <w:p w14:paraId="32385707" w14:textId="0E3B618C" w:rsidR="00CE7A69" w:rsidRDefault="00CE7A69" w:rsidP="00057D0C">
            <w:pPr>
              <w:pStyle w:val="DHHStabletext"/>
            </w:pPr>
            <w:r>
              <w:t>Organisational readiness to implement the project, including key milestones and timeframe for completion. Relevant supporting documentation as outlined in the submission requirements section of this document must be provided.</w:t>
            </w:r>
          </w:p>
          <w:p w14:paraId="366F7518" w14:textId="77777777" w:rsidR="00CE7A69" w:rsidRDefault="00CE7A69" w:rsidP="00057D0C">
            <w:pPr>
              <w:pStyle w:val="DHHStabletext"/>
            </w:pPr>
            <w:r>
              <w:t>All project dependencies must be listed including their potential impact on the project cost, schedule, scope and benefits.</w:t>
            </w:r>
          </w:p>
        </w:tc>
        <w:tc>
          <w:tcPr>
            <w:tcW w:w="1564" w:type="dxa"/>
            <w:tcBorders>
              <w:top w:val="single" w:sz="4" w:space="0" w:color="0074BC" w:themeColor="accent1"/>
              <w:bottom w:val="single" w:sz="4" w:space="0" w:color="0074BC" w:themeColor="accent1"/>
            </w:tcBorders>
            <w:hideMark/>
          </w:tcPr>
          <w:p w14:paraId="6CEBF37B" w14:textId="77777777" w:rsidR="00CE7A69" w:rsidRDefault="00CE7A69" w:rsidP="00057D0C">
            <w:pPr>
              <w:pStyle w:val="DHHStabletext"/>
            </w:pPr>
            <w:r>
              <w:t xml:space="preserve">Projects will be assessed as ready, partially ready or not ready </w:t>
            </w:r>
          </w:p>
        </w:tc>
      </w:tr>
      <w:tr w:rsidR="00CE7A69" w14:paraId="454ADF1F" w14:textId="77777777" w:rsidTr="00057D0C">
        <w:tc>
          <w:tcPr>
            <w:tcW w:w="392" w:type="dxa"/>
            <w:tcBorders>
              <w:top w:val="single" w:sz="4" w:space="0" w:color="0074BC" w:themeColor="accent1"/>
              <w:bottom w:val="single" w:sz="18" w:space="0" w:color="F1582E" w:themeColor="accent2"/>
            </w:tcBorders>
            <w:shd w:val="clear" w:color="auto" w:fill="BEE6FF" w:themeFill="text2" w:themeFillTint="33"/>
            <w:hideMark/>
          </w:tcPr>
          <w:p w14:paraId="2251F156" w14:textId="25EBA8A0" w:rsidR="00CE7A69" w:rsidRDefault="00CE7A69" w:rsidP="00297124">
            <w:pPr>
              <w:pStyle w:val="DHHStabletext"/>
              <w:rPr>
                <w:b/>
                <w:bCs/>
              </w:rPr>
            </w:pPr>
            <w:r>
              <w:rPr>
                <w:b/>
                <w:bCs/>
              </w:rPr>
              <w:t>5</w:t>
            </w:r>
          </w:p>
        </w:tc>
        <w:tc>
          <w:tcPr>
            <w:tcW w:w="1984" w:type="dxa"/>
            <w:tcBorders>
              <w:top w:val="single" w:sz="4" w:space="0" w:color="0074BC" w:themeColor="accent1"/>
              <w:bottom w:val="single" w:sz="18" w:space="0" w:color="F1582E" w:themeColor="accent2"/>
            </w:tcBorders>
            <w:shd w:val="clear" w:color="auto" w:fill="BEE6FF" w:themeFill="text2" w:themeFillTint="33"/>
            <w:hideMark/>
          </w:tcPr>
          <w:p w14:paraId="3CA44510" w14:textId="77777777" w:rsidR="00CE7A69" w:rsidRPr="003E1CC6" w:rsidRDefault="00CE7A69" w:rsidP="00297124">
            <w:pPr>
              <w:pStyle w:val="DHHStabletext"/>
              <w:rPr>
                <w:rStyle w:val="Strong"/>
              </w:rPr>
            </w:pPr>
            <w:r w:rsidRPr="003E1CC6">
              <w:rPr>
                <w:rStyle w:val="Strong"/>
              </w:rPr>
              <w:t>Governance</w:t>
            </w:r>
          </w:p>
        </w:tc>
        <w:tc>
          <w:tcPr>
            <w:tcW w:w="6096" w:type="dxa"/>
            <w:tcBorders>
              <w:top w:val="single" w:sz="4" w:space="0" w:color="0074BC" w:themeColor="accent1"/>
              <w:bottom w:val="single" w:sz="18" w:space="0" w:color="F1582E" w:themeColor="accent2"/>
            </w:tcBorders>
            <w:shd w:val="clear" w:color="auto" w:fill="auto"/>
            <w:hideMark/>
          </w:tcPr>
          <w:p w14:paraId="04FA41F8" w14:textId="77777777" w:rsidR="00CE7A69" w:rsidRDefault="00CE7A69" w:rsidP="00057D0C">
            <w:pPr>
              <w:pStyle w:val="DHHStabletext"/>
            </w:pPr>
            <w:r>
              <w:t>The degree to which health service/agency governance structures and processes are in place to oversee the proposed project development, implementation, monitoring and reporting.</w:t>
            </w:r>
          </w:p>
          <w:p w14:paraId="0FC181B1" w14:textId="77777777" w:rsidR="00CE7A69" w:rsidRDefault="00CE7A69" w:rsidP="00057D0C">
            <w:pPr>
              <w:pStyle w:val="DHHStabletext"/>
            </w:pPr>
            <w:r>
              <w:t>This relates to the governance framework supporting transparency, probity and accountability relating to the delivery of this proposal.</w:t>
            </w:r>
          </w:p>
        </w:tc>
        <w:tc>
          <w:tcPr>
            <w:tcW w:w="1564" w:type="dxa"/>
            <w:tcBorders>
              <w:top w:val="single" w:sz="4" w:space="0" w:color="0074BC" w:themeColor="accent1"/>
              <w:bottom w:val="single" w:sz="18" w:space="0" w:color="F1582E" w:themeColor="accent2"/>
            </w:tcBorders>
            <w:shd w:val="clear" w:color="auto" w:fill="auto"/>
            <w:hideMark/>
          </w:tcPr>
          <w:p w14:paraId="0D99186E" w14:textId="57691F4B" w:rsidR="00CE7A69" w:rsidRDefault="00CE7A69" w:rsidP="00057D0C">
            <w:pPr>
              <w:pStyle w:val="DHHStabletext"/>
            </w:pPr>
            <w:r>
              <w:t xml:space="preserve">Project </w:t>
            </w:r>
            <w:r w:rsidR="003E1CC6">
              <w:t>g</w:t>
            </w:r>
            <w:r>
              <w:t xml:space="preserve">overnance will be assessed as strong, good or inadequate </w:t>
            </w:r>
          </w:p>
        </w:tc>
      </w:tr>
    </w:tbl>
    <w:bookmarkEnd w:id="23"/>
    <w:p w14:paraId="645E73B6" w14:textId="77777777" w:rsidR="00CE7A69" w:rsidRDefault="00CE7A69" w:rsidP="00297124">
      <w:pPr>
        <w:pStyle w:val="DHHSbodyaftertablefigure"/>
      </w:pPr>
      <w:r>
        <w:t>The outcomes rating from Criteria 4 and 5 may influence the overall success of the application to receive funding.</w:t>
      </w:r>
    </w:p>
    <w:p w14:paraId="168A09F3" w14:textId="77777777" w:rsidR="00CE7A69" w:rsidRDefault="00CE7A69" w:rsidP="00043279">
      <w:pPr>
        <w:pStyle w:val="Heading2"/>
      </w:pPr>
      <w:bookmarkStart w:id="24" w:name="_Toc64016575"/>
      <w:r>
        <w:t>Assessment of capital/construction projects</w:t>
      </w:r>
      <w:bookmarkEnd w:id="24"/>
      <w:r>
        <w:t xml:space="preserve"> </w:t>
      </w:r>
    </w:p>
    <w:p w14:paraId="48AC7A48" w14:textId="77777777" w:rsidR="00CE7A69" w:rsidRDefault="00CE7A69" w:rsidP="00CE7A69">
      <w:pPr>
        <w:pStyle w:val="DHHSbody"/>
      </w:pPr>
      <w:r>
        <w:t>Following submission in SmartyGrants, for applications involving a construction element greater than $2 million, VHHSBA will request an evaluation be undertaken by an independent capital consultant to confirm buildability.</w:t>
      </w:r>
    </w:p>
    <w:p w14:paraId="1BDBEF2E" w14:textId="77777777" w:rsidR="00CE7A69" w:rsidRDefault="00CE7A69" w:rsidP="00CE7A69">
      <w:pPr>
        <w:pStyle w:val="Heading1"/>
      </w:pPr>
      <w:bookmarkStart w:id="25" w:name="_Toc64016576"/>
      <w:r>
        <w:t>Conditions of funding</w:t>
      </w:r>
      <w:bookmarkEnd w:id="25"/>
    </w:p>
    <w:p w14:paraId="5F737513" w14:textId="77777777" w:rsidR="00CE7A69" w:rsidRPr="003E1CC6" w:rsidRDefault="00CE7A69" w:rsidP="00043279">
      <w:pPr>
        <w:pStyle w:val="DHHSnumberdigit"/>
        <w:numPr>
          <w:ilvl w:val="0"/>
          <w:numId w:val="37"/>
        </w:numPr>
      </w:pPr>
      <w:r w:rsidRPr="003E1CC6">
        <w:t>The funds that will be provided are based on approved project scope as identified within the funding approval letter.</w:t>
      </w:r>
    </w:p>
    <w:p w14:paraId="6B5F5109" w14:textId="77777777" w:rsidR="00CE7A69" w:rsidRPr="003E1CC6" w:rsidRDefault="00CE7A69" w:rsidP="003E1CC6">
      <w:pPr>
        <w:pStyle w:val="DHHSnumberdigit"/>
      </w:pPr>
      <w:r w:rsidRPr="003E1CC6">
        <w:t xml:space="preserve">Funds are provided only for the approved project and scope including generic type, functionality and number of items in the approved allocation and must not be used for any other purpose. </w:t>
      </w:r>
    </w:p>
    <w:p w14:paraId="42B4BF21" w14:textId="77777777" w:rsidR="00CE7A69" w:rsidRPr="003E1CC6" w:rsidRDefault="00CE7A69" w:rsidP="003E1CC6">
      <w:pPr>
        <w:pStyle w:val="DHHSnumberdigit"/>
      </w:pPr>
      <w:bookmarkStart w:id="26" w:name="_Hlk17121441"/>
      <w:r w:rsidRPr="003E1CC6">
        <w:t xml:space="preserve">Any changes to scope, cost or timeframes will require departmental approval. Any increased costs associated with the project will be the responsibility of the health service / health agency. </w:t>
      </w:r>
    </w:p>
    <w:bookmarkEnd w:id="26"/>
    <w:p w14:paraId="2B152E61" w14:textId="77777777" w:rsidR="00CE7A69" w:rsidRPr="003E1CC6" w:rsidRDefault="00CE7A69" w:rsidP="003E1CC6">
      <w:pPr>
        <w:pStyle w:val="DHHSnumberdigit"/>
      </w:pPr>
      <w:r w:rsidRPr="003E1CC6">
        <w:t>If only specific elements of an application have been approved (partial funding), the health service / health agency must ensure that funds are used only for the approved elements.</w:t>
      </w:r>
    </w:p>
    <w:p w14:paraId="66A10D76" w14:textId="77777777" w:rsidR="00CE7A69" w:rsidRPr="003E1CC6" w:rsidRDefault="00CE7A69" w:rsidP="003E1CC6">
      <w:pPr>
        <w:pStyle w:val="DHHSnumberdigit"/>
      </w:pPr>
      <w:r w:rsidRPr="003E1CC6">
        <w:t>Where projects are funded from multiple sources, and the additional source of funding is no longer available, the Victorian Government is not obliged to provide any additional funding.</w:t>
      </w:r>
    </w:p>
    <w:p w14:paraId="4B8E59FC" w14:textId="77777777" w:rsidR="00CE7A69" w:rsidRPr="003E1CC6" w:rsidRDefault="00CE7A69" w:rsidP="003E1CC6">
      <w:pPr>
        <w:pStyle w:val="DHHSnumberdigit"/>
      </w:pPr>
      <w:r w:rsidRPr="003E1CC6">
        <w:t>Funding provided for any nominated assets must be expended by a health service / health agency in accordance with the notification letter.</w:t>
      </w:r>
    </w:p>
    <w:p w14:paraId="2F1EE487" w14:textId="384959C0" w:rsidR="00CE7A69" w:rsidRPr="003E1CC6" w:rsidRDefault="00CE7A69" w:rsidP="003E1CC6">
      <w:pPr>
        <w:pStyle w:val="DHHSnumberdigit"/>
      </w:pPr>
      <w:r w:rsidRPr="003E1CC6">
        <w:t xml:space="preserve">Applicants should demonstrate that project viability is not dependent on continuing or recurrent </w:t>
      </w:r>
      <w:r w:rsidR="00043279">
        <w:t>Victorian</w:t>
      </w:r>
      <w:r w:rsidRPr="003E1CC6">
        <w:t xml:space="preserve"> Government funding.</w:t>
      </w:r>
    </w:p>
    <w:p w14:paraId="4F31C990" w14:textId="77777777" w:rsidR="00CE7A69" w:rsidRPr="003E1CC6" w:rsidRDefault="00CE7A69" w:rsidP="003E1CC6">
      <w:pPr>
        <w:pStyle w:val="DHHSnumberdigit"/>
      </w:pPr>
      <w:r w:rsidRPr="003E1CC6">
        <w:t>Capital works and equipment acquisitions shall not require any growth in recurrent funding from the department.</w:t>
      </w:r>
    </w:p>
    <w:p w14:paraId="440E6DD5" w14:textId="77777777" w:rsidR="00CE7A69" w:rsidRPr="003E1CC6" w:rsidRDefault="00CE7A69" w:rsidP="003E1CC6">
      <w:pPr>
        <w:pStyle w:val="DHHSnumberdigit"/>
      </w:pPr>
      <w:r w:rsidRPr="003E1CC6">
        <w:t>Funding is not available for projects previously funded or already approved for funding from another source.</w:t>
      </w:r>
    </w:p>
    <w:p w14:paraId="78985A05" w14:textId="77777777" w:rsidR="00CE7A69" w:rsidRDefault="00CE7A69" w:rsidP="003E1CC6">
      <w:pPr>
        <w:pStyle w:val="DHHSnumberdigit"/>
      </w:pPr>
      <w:r w:rsidRPr="003E1CC6">
        <w:t>Final payment will be made in accordance with the Milestones and Payment criteria relevant to the project approval as defined in the grant submission. All non-construction projects must be completed within two financial years. Construction projects must be completed</w:t>
      </w:r>
      <w:r>
        <w:t xml:space="preserve"> in accordance with the signed Project Agreement. </w:t>
      </w:r>
    </w:p>
    <w:p w14:paraId="07C26343" w14:textId="77777777" w:rsidR="00CE7A69" w:rsidRDefault="00CE7A69" w:rsidP="003E1CC6">
      <w:pPr>
        <w:pStyle w:val="Heading2"/>
      </w:pPr>
      <w:bookmarkStart w:id="27" w:name="_Toc64016577"/>
      <w:r>
        <w:t>Asset management</w:t>
      </w:r>
      <w:bookmarkEnd w:id="27"/>
    </w:p>
    <w:p w14:paraId="5B185EA8"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431F5089"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6D9510BA"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1019BAB6"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53B90EA2"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4C2AA640"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6D0D0FBF"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193053A0"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4C093659"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20B940B1" w14:textId="77777777" w:rsidR="00043279" w:rsidRPr="00043279" w:rsidRDefault="00043279" w:rsidP="00043279">
      <w:pPr>
        <w:pStyle w:val="ListParagraph"/>
        <w:numPr>
          <w:ilvl w:val="0"/>
          <w:numId w:val="36"/>
        </w:numPr>
        <w:spacing w:after="120" w:line="270" w:lineRule="atLeast"/>
        <w:contextualSpacing w:val="0"/>
        <w:rPr>
          <w:rFonts w:ascii="Arial" w:eastAsia="Times" w:hAnsi="Arial"/>
          <w:vanish/>
        </w:rPr>
      </w:pPr>
    </w:p>
    <w:p w14:paraId="4766B51D" w14:textId="1876CD93" w:rsidR="00CE7A69" w:rsidRDefault="00CE7A69" w:rsidP="00043279">
      <w:pPr>
        <w:pStyle w:val="DHHSnumberdigit"/>
        <w:numPr>
          <w:ilvl w:val="0"/>
          <w:numId w:val="36"/>
        </w:numPr>
      </w:pPr>
      <w:r>
        <w:t xml:space="preserve">On completion of the project, Health services are required to update asset registers, maintenance and asset management plans and provide details of the testing and commissioning plans (including for decommissioning and disposing of the item/infrastructure replaced). Similarly, ‘new’ acquisitions (outside of the initiative and irrespective of the funding source) are to be included on the asset register and incorporated into future asset management planning. </w:t>
      </w:r>
    </w:p>
    <w:p w14:paraId="4A3F0714" w14:textId="77777777" w:rsidR="00CE7A69" w:rsidRDefault="00CE7A69" w:rsidP="00CE7A69">
      <w:pPr>
        <w:pStyle w:val="DHHSnumberdigit"/>
        <w:numPr>
          <w:ilvl w:val="0"/>
          <w:numId w:val="36"/>
        </w:numPr>
      </w:pPr>
      <w:r>
        <w:lastRenderedPageBreak/>
        <w:t>Health services reporting on asset replacement under the initiative are required to demonstrate financial and asset accountability and reporting and investment against asset management plans for engineering infrastructure and medical equipment replacement under these programs.</w:t>
      </w:r>
    </w:p>
    <w:p w14:paraId="6EFF7988" w14:textId="77777777" w:rsidR="00CE7A69" w:rsidRDefault="00CE7A69" w:rsidP="00CE7A69">
      <w:pPr>
        <w:pStyle w:val="DHHSnumberdigit"/>
        <w:numPr>
          <w:ilvl w:val="0"/>
          <w:numId w:val="36"/>
        </w:numPr>
      </w:pPr>
      <w:r>
        <w:t>Medical equipment items proposed must be approved by the Therapeutic Goods Administration (including any hybrid technologies) and replacement engineering infrastructure and medical equipment are to comply with Australian Standards, regulations and guidelines.</w:t>
      </w:r>
    </w:p>
    <w:p w14:paraId="59E64C7E" w14:textId="77777777" w:rsidR="00CE7A69" w:rsidRDefault="00CE7A69" w:rsidP="003E1CC6">
      <w:pPr>
        <w:pStyle w:val="Heading2"/>
      </w:pPr>
      <w:bookmarkStart w:id="28" w:name="_Toc64016578"/>
      <w:r>
        <w:t>Governance</w:t>
      </w:r>
      <w:bookmarkEnd w:id="28"/>
    </w:p>
    <w:p w14:paraId="731161CD" w14:textId="77777777" w:rsidR="00CE7A69" w:rsidRDefault="00CE7A69" w:rsidP="00CE7A69">
      <w:pPr>
        <w:pStyle w:val="DHHSnumberdigit"/>
        <w:numPr>
          <w:ilvl w:val="0"/>
          <w:numId w:val="36"/>
        </w:numPr>
      </w:pPr>
      <w:r>
        <w:t>Capital delivery under this initiative requires works program management, governance and internal controls by health services to be consistent with capital project management policies and tailored to the scope and size of the capital expenditure program. Governance processes need to be in place to ensure procurement of the approved asset is consistent with the scope agreed and approved by the department and communicated during the procurement phase so that the purchase remains in-scope and procured within the financial year.</w:t>
      </w:r>
    </w:p>
    <w:p w14:paraId="7CE1E21E" w14:textId="77777777" w:rsidR="00CE7A69" w:rsidRDefault="00CE7A69" w:rsidP="00CE7A69">
      <w:pPr>
        <w:pStyle w:val="DHHSnumberdigit"/>
        <w:numPr>
          <w:ilvl w:val="0"/>
          <w:numId w:val="36"/>
        </w:numPr>
      </w:pPr>
      <w:r>
        <w:t>Assets put forward for funding must have satisfied health service / agency governance requirements including that: projects have been appropriately scoped in accordance with the program requirements; projects have the required internal personnel available to deliver the approved asset; and project governance and reporting is in place for these projects.</w:t>
      </w:r>
    </w:p>
    <w:p w14:paraId="00AC816D" w14:textId="77777777" w:rsidR="00CE7A69" w:rsidRDefault="00CE7A69" w:rsidP="00CE7A69">
      <w:pPr>
        <w:pStyle w:val="DHHSnumberdigit"/>
        <w:numPr>
          <w:ilvl w:val="0"/>
          <w:numId w:val="36"/>
        </w:numPr>
      </w:pPr>
      <w:r>
        <w:t>The project(s) will be directly managed by the health service/agency/organisation in a manner that reflects departmental guidelines relating to probity, financial reporting and project completion information.</w:t>
      </w:r>
    </w:p>
    <w:p w14:paraId="74EDF50E" w14:textId="77777777" w:rsidR="00CE7A69" w:rsidRDefault="00CE7A69" w:rsidP="003E1CC6">
      <w:pPr>
        <w:pStyle w:val="Heading2"/>
      </w:pPr>
      <w:bookmarkStart w:id="29" w:name="_Toc64016579"/>
      <w:r>
        <w:t>Payments and reporting milestones</w:t>
      </w:r>
      <w:bookmarkEnd w:id="29"/>
    </w:p>
    <w:p w14:paraId="67DF1EB5" w14:textId="77777777" w:rsidR="00CE7A69" w:rsidRDefault="00CE7A69" w:rsidP="00CE7A69">
      <w:pPr>
        <w:pStyle w:val="DHHSnumberdigit"/>
        <w:numPr>
          <w:ilvl w:val="0"/>
          <w:numId w:val="36"/>
        </w:numPr>
      </w:pPr>
      <w:r>
        <w:t>All agencies will initially be informed of the outcome of their submission by email. Successful applicants will receive a letter that confirms the scope of funded works, terms of payments and delivery timeframe. This letter will have an attachment that must be signed by the CEO and returned to the Executive General Manager, Asset Strategy, VHHSBA, prior to any payments being made.</w:t>
      </w:r>
    </w:p>
    <w:p w14:paraId="75A9FE76" w14:textId="77777777" w:rsidR="00CE7A69" w:rsidRDefault="00CE7A69" w:rsidP="00CE7A69">
      <w:pPr>
        <w:pStyle w:val="DHHSnumberdigit"/>
        <w:numPr>
          <w:ilvl w:val="0"/>
          <w:numId w:val="36"/>
        </w:numPr>
      </w:pPr>
      <w:r>
        <w:t>Once the signed letter has been received by the Executive General Manager, Asset Strategy, VHHSBA, project payments will be made in the below framework.</w:t>
      </w:r>
    </w:p>
    <w:p w14:paraId="1593E69C" w14:textId="77777777" w:rsidR="00CE7A69" w:rsidRDefault="00CE7A69" w:rsidP="00CE7A69">
      <w:pPr>
        <w:pStyle w:val="DHHSnumberdigit"/>
        <w:numPr>
          <w:ilvl w:val="0"/>
          <w:numId w:val="36"/>
        </w:numPr>
      </w:pPr>
      <w:r>
        <w:t>There are two (2) Payment Schedules:</w:t>
      </w:r>
    </w:p>
    <w:p w14:paraId="6602BE52" w14:textId="2A543B69" w:rsidR="00CE7A69" w:rsidRPr="00043279" w:rsidRDefault="00043279" w:rsidP="00043279">
      <w:pPr>
        <w:pStyle w:val="DHHSbullet2"/>
      </w:pPr>
      <w:r>
        <w:t>n</w:t>
      </w:r>
      <w:r w:rsidR="00CE7A69" w:rsidRPr="00043279">
        <w:t>on-construction projects (that is, projects with no construction components) and minor construction refurbishment projects less than $2 million</w:t>
      </w:r>
    </w:p>
    <w:p w14:paraId="124C2CDA" w14:textId="20700B3C" w:rsidR="00CE7A69" w:rsidRPr="00043279" w:rsidRDefault="00043279" w:rsidP="00043279">
      <w:pPr>
        <w:pStyle w:val="DHHSbullet2"/>
      </w:pPr>
      <w:r>
        <w:t>c</w:t>
      </w:r>
      <w:r w:rsidR="00CE7A69" w:rsidRPr="00043279">
        <w:t>onstruction projects greater than $2 million.</w:t>
      </w:r>
    </w:p>
    <w:p w14:paraId="0F61719A" w14:textId="77777777" w:rsidR="00CE7A69" w:rsidRDefault="00CE7A69" w:rsidP="00057D0C">
      <w:pPr>
        <w:pStyle w:val="Heading3"/>
        <w:ind w:left="567"/>
      </w:pPr>
      <w:r>
        <w:t>Milestone payments and reporting for non-construction and minor construction / refurbishment projects less than $2 million</w:t>
      </w:r>
    </w:p>
    <w:p w14:paraId="284FE296" w14:textId="77777777" w:rsidR="00CE7A69" w:rsidRDefault="00CE7A69" w:rsidP="00057D0C">
      <w:pPr>
        <w:pStyle w:val="DHHSbullet1"/>
        <w:ind w:left="851"/>
      </w:pPr>
      <w:r w:rsidRPr="00057D0C">
        <w:rPr>
          <w:rStyle w:val="Strong"/>
        </w:rPr>
        <w:t>Milestone 1:</w:t>
      </w:r>
      <w:r>
        <w:t xml:space="preserve"> 20% allocation upon returning signed Letter of Acceptance</w:t>
      </w:r>
    </w:p>
    <w:p w14:paraId="1BB44C77" w14:textId="77777777" w:rsidR="00CE7A69" w:rsidRDefault="00CE7A69" w:rsidP="00057D0C">
      <w:pPr>
        <w:pStyle w:val="DHHSbullet1"/>
        <w:ind w:left="851"/>
      </w:pPr>
      <w:r w:rsidRPr="00057D0C">
        <w:rPr>
          <w:rStyle w:val="Strong"/>
        </w:rPr>
        <w:t>Milestone 2:</w:t>
      </w:r>
      <w:r>
        <w:t xml:space="preserve"> completion of procurement of the scoped works</w:t>
      </w:r>
    </w:p>
    <w:p w14:paraId="6EE63F01" w14:textId="77777777" w:rsidR="00CE7A69" w:rsidRDefault="00CE7A69" w:rsidP="00057D0C">
      <w:pPr>
        <w:pStyle w:val="DHHSbullet1"/>
        <w:ind w:left="851"/>
      </w:pPr>
      <w:r w:rsidRPr="00057D0C">
        <w:rPr>
          <w:rStyle w:val="Strong"/>
        </w:rPr>
        <w:t>Milestone 3</w:t>
      </w:r>
      <w:r w:rsidRPr="00057D0C">
        <w:t>:</w:t>
      </w:r>
      <w:r>
        <w:t xml:space="preserve"> 60% allocation upon executed contract / laying of purchase order and estimated date of delivery and confirmation of scope. VHHSBA will pay 60% of the actual project sum, provided that the project sum is not greater than the total funding allocation </w:t>
      </w:r>
    </w:p>
    <w:p w14:paraId="120BF809" w14:textId="77777777" w:rsidR="00CE7A69" w:rsidRDefault="00CE7A69" w:rsidP="00057D0C">
      <w:pPr>
        <w:pStyle w:val="DHHSbullet1"/>
        <w:ind w:left="851"/>
      </w:pPr>
      <w:r w:rsidRPr="00057D0C">
        <w:rPr>
          <w:rStyle w:val="Strong"/>
        </w:rPr>
        <w:t>Milestone 4:</w:t>
      </w:r>
      <w:r>
        <w:t xml:space="preserve"> notification of installation / commissioning completion</w:t>
      </w:r>
    </w:p>
    <w:p w14:paraId="70372FAF" w14:textId="77777777" w:rsidR="00CE7A69" w:rsidRDefault="00CE7A69" w:rsidP="00057D0C">
      <w:pPr>
        <w:pStyle w:val="DHHSbullet1"/>
        <w:ind w:left="851"/>
      </w:pPr>
      <w:r w:rsidRPr="00057D0C">
        <w:rPr>
          <w:rStyle w:val="Strong"/>
        </w:rPr>
        <w:t>Milestone 5:</w:t>
      </w:r>
      <w:r>
        <w:t xml:space="preserve"> up to 20% of the project sum upon confirmation of project completion, provided that the project sum is not greater than the total funding allocation.  The final report needs to be attached to the final application for payment.</w:t>
      </w:r>
    </w:p>
    <w:p w14:paraId="102D322E" w14:textId="77777777" w:rsidR="00CE7A69" w:rsidRDefault="00CE7A69" w:rsidP="00057D0C">
      <w:pPr>
        <w:pStyle w:val="DHHSbodyafterbullets"/>
        <w:ind w:left="567"/>
        <w:rPr>
          <w:rStyle w:val="normaltextrun"/>
          <w:rFonts w:eastAsiaTheme="majorEastAsia" w:cs="Arial"/>
        </w:rPr>
      </w:pPr>
      <w:r>
        <w:rPr>
          <w:color w:val="000000" w:themeColor="text1"/>
        </w:rPr>
        <w:t xml:space="preserve">The </w:t>
      </w:r>
      <w:r>
        <w:rPr>
          <w:rStyle w:val="normaltextrun"/>
          <w:rFonts w:eastAsiaTheme="majorEastAsia" w:cs="Arial"/>
        </w:rPr>
        <w:t xml:space="preserve">completed and </w:t>
      </w:r>
      <w:r>
        <w:rPr>
          <w:color w:val="000000" w:themeColor="text1"/>
        </w:rPr>
        <w:t>signed claim</w:t>
      </w:r>
      <w:r>
        <w:rPr>
          <w:rStyle w:val="normaltextrun"/>
          <w:rFonts w:eastAsiaTheme="majorEastAsia" w:cs="Arial"/>
        </w:rPr>
        <w:t xml:space="preserve"> </w:t>
      </w:r>
      <w:r>
        <w:rPr>
          <w:rStyle w:val="normaltextrun"/>
          <w:rFonts w:eastAsia="MS Gothic" w:cs="Arial"/>
        </w:rPr>
        <w:t>form</w:t>
      </w:r>
      <w:r>
        <w:rPr>
          <w:rStyle w:val="normaltextrun"/>
          <w:rFonts w:eastAsiaTheme="majorEastAsia" w:cs="Arial"/>
        </w:rPr>
        <w:t xml:space="preserve"> will need to be submitted to Asset Strategy – VHHSBA with supporting invoices and purchase orders.</w:t>
      </w:r>
    </w:p>
    <w:p w14:paraId="30EACDE0" w14:textId="77777777" w:rsidR="00CE7A69" w:rsidRDefault="00CE7A69" w:rsidP="00057D0C">
      <w:pPr>
        <w:pStyle w:val="Heading3"/>
        <w:ind w:left="567"/>
      </w:pPr>
      <w:r>
        <w:lastRenderedPageBreak/>
        <w:t>Milestone payments, requirements and reporting for construction projects greater than $2 million</w:t>
      </w:r>
    </w:p>
    <w:p w14:paraId="3AE8E8EF" w14:textId="77777777" w:rsidR="00CE7A69" w:rsidRDefault="00CE7A69" w:rsidP="00057D0C">
      <w:pPr>
        <w:pStyle w:val="DHHSbody"/>
        <w:ind w:left="567"/>
      </w:pPr>
      <w:r>
        <w:t>Construction projects of greater value than $2 million must comply with the following requirements:</w:t>
      </w:r>
    </w:p>
    <w:p w14:paraId="143CFB82" w14:textId="77777777" w:rsidR="00CE7A69" w:rsidRPr="003E1CC6" w:rsidRDefault="00CE7A69" w:rsidP="00057D0C">
      <w:pPr>
        <w:pStyle w:val="DHHSbullet1"/>
        <w:ind w:left="851"/>
      </w:pPr>
      <w:r w:rsidRPr="003E1CC6">
        <w:t>enter into a Project Agreement signed by CEO reflecting agreed project milestones</w:t>
      </w:r>
    </w:p>
    <w:p w14:paraId="0289662C" w14:textId="77777777" w:rsidR="00CE7A69" w:rsidRPr="003E1CC6" w:rsidRDefault="00CE7A69" w:rsidP="00057D0C">
      <w:pPr>
        <w:pStyle w:val="DHHSbullet1"/>
        <w:ind w:left="851"/>
      </w:pPr>
      <w:r w:rsidRPr="003E1CC6">
        <w:t>established governance framework</w:t>
      </w:r>
    </w:p>
    <w:p w14:paraId="6C216572" w14:textId="77777777" w:rsidR="00CE7A69" w:rsidRPr="003E1CC6" w:rsidRDefault="00CE7A69" w:rsidP="00057D0C">
      <w:pPr>
        <w:pStyle w:val="DHHSbullet1"/>
        <w:ind w:left="851"/>
      </w:pPr>
      <w:r w:rsidRPr="003E1CC6">
        <w:t>undertaken by appropriately qualified contractors in accordance with all regulations and standards applicable to the works</w:t>
      </w:r>
    </w:p>
    <w:p w14:paraId="583DC0D9" w14:textId="749D6AA0" w:rsidR="00CE7A69" w:rsidRPr="003E1CC6" w:rsidRDefault="00CE7A69" w:rsidP="00057D0C">
      <w:pPr>
        <w:pStyle w:val="DHHSbullet1"/>
        <w:ind w:left="851"/>
      </w:pPr>
      <w:r w:rsidRPr="003E1CC6">
        <w:t xml:space="preserve">designs must reflect </w:t>
      </w:r>
      <w:r w:rsidR="00640C87" w:rsidRPr="003E1CC6">
        <w:t>universal d</w:t>
      </w:r>
      <w:r w:rsidRPr="003E1CC6">
        <w:t>esign principles</w:t>
      </w:r>
    </w:p>
    <w:p w14:paraId="541C2E1B" w14:textId="70CFB0B1" w:rsidR="00CE7A69" w:rsidRDefault="00CE7A69" w:rsidP="00057D0C">
      <w:pPr>
        <w:pStyle w:val="DHHSbullet1"/>
        <w:ind w:left="851"/>
        <w:rPr>
          <w:rFonts w:cs="Arial"/>
        </w:rPr>
      </w:pPr>
      <w:r w:rsidRPr="003E1CC6">
        <w:t xml:space="preserve">capital development projects must be completed in accordance with National Construction Code and relevant Australian Standards, regulatory requirements and </w:t>
      </w:r>
      <w:hyperlink r:id="rId27" w:history="1">
        <w:r w:rsidRPr="00B70F50">
          <w:rPr>
            <w:rStyle w:val="Hyperlink"/>
          </w:rPr>
          <w:t>Guidelines</w:t>
        </w:r>
      </w:hyperlink>
      <w:r w:rsidR="00B70F50">
        <w:t xml:space="preserve"> </w:t>
      </w:r>
      <w:r w:rsidRPr="003E1CC6">
        <w:t>&lt;</w:t>
      </w:r>
      <w:hyperlink r:id="rId28" w:history="1">
        <w:r w:rsidRPr="003E1CC6">
          <w:rPr>
            <w:rStyle w:val="Hyperlink"/>
            <w:color w:val="auto"/>
            <w:u w:val="none"/>
          </w:rPr>
          <w:t>http://www.capital.health.vic.gov.au</w:t>
        </w:r>
      </w:hyperlink>
      <w:r>
        <w:rPr>
          <w:rFonts w:cs="Arial"/>
        </w:rPr>
        <w:t>&gt;.</w:t>
      </w:r>
      <w:r w:rsidR="00B70F50">
        <w:rPr>
          <w:rFonts w:cs="Arial"/>
        </w:rPr>
        <w:t xml:space="preserve"> </w:t>
      </w:r>
    </w:p>
    <w:p w14:paraId="5821A384" w14:textId="704F2F7A" w:rsidR="00CE7A69" w:rsidRDefault="00CE7A69" w:rsidP="00057D0C">
      <w:pPr>
        <w:pStyle w:val="DHHSbodyafterbullets"/>
        <w:ind w:left="567"/>
      </w:pPr>
      <w:r>
        <w:t xml:space="preserve">A Project Agreement will be developed and documented in consultation between the agency and VHHSBA Capital Delivery </w:t>
      </w:r>
      <w:r w:rsidR="00D8251B">
        <w:t>u</w:t>
      </w:r>
      <w:r>
        <w:t xml:space="preserve">nit. </w:t>
      </w:r>
    </w:p>
    <w:p w14:paraId="1D8AD366" w14:textId="77777777" w:rsidR="00CE7A69" w:rsidRDefault="00CE7A69" w:rsidP="00057D0C">
      <w:pPr>
        <w:pStyle w:val="DHHSbullet1"/>
        <w:spacing w:line="276" w:lineRule="auto"/>
        <w:ind w:left="851"/>
      </w:pPr>
      <w:r>
        <w:rPr>
          <w:b/>
          <w:bCs/>
        </w:rPr>
        <w:t>Milestone 1</w:t>
      </w:r>
      <w:r>
        <w:t>: Receipt of signed letter of agreement (20%)</w:t>
      </w:r>
    </w:p>
    <w:p w14:paraId="71DCBEBA" w14:textId="77777777" w:rsidR="00CE7A69" w:rsidRDefault="00CE7A69" w:rsidP="00057D0C">
      <w:pPr>
        <w:pStyle w:val="DHHSbullet1"/>
        <w:spacing w:line="276" w:lineRule="auto"/>
        <w:ind w:left="851"/>
      </w:pPr>
      <w:r>
        <w:rPr>
          <w:b/>
          <w:bCs/>
        </w:rPr>
        <w:t>Milestone 2</w:t>
      </w:r>
      <w:r>
        <w:t>: Agreed Project Plan (10%)</w:t>
      </w:r>
    </w:p>
    <w:p w14:paraId="3C8DDB22" w14:textId="77777777" w:rsidR="00CE7A69" w:rsidRDefault="00CE7A69" w:rsidP="00057D0C">
      <w:pPr>
        <w:pStyle w:val="DHHSbullet1"/>
        <w:spacing w:line="276" w:lineRule="auto"/>
        <w:ind w:left="851"/>
      </w:pPr>
      <w:r>
        <w:rPr>
          <w:b/>
          <w:bCs/>
        </w:rPr>
        <w:t>Milestone 3</w:t>
      </w:r>
      <w:r>
        <w:t>: Agreed Schematic Design and Cost Plan C2 (10%)</w:t>
      </w:r>
    </w:p>
    <w:p w14:paraId="291C810B" w14:textId="77777777" w:rsidR="00CE7A69" w:rsidRDefault="00CE7A69" w:rsidP="00057D0C">
      <w:pPr>
        <w:pStyle w:val="DHHSbullet1"/>
        <w:spacing w:line="276" w:lineRule="auto"/>
        <w:ind w:left="851"/>
      </w:pPr>
      <w:r>
        <w:rPr>
          <w:b/>
          <w:bCs/>
        </w:rPr>
        <w:t>Milestone 4</w:t>
      </w:r>
      <w:r>
        <w:t>: Agreed Design development and Cost Plan D (10%)</w:t>
      </w:r>
    </w:p>
    <w:p w14:paraId="458F46BB" w14:textId="77777777" w:rsidR="00CE7A69" w:rsidRDefault="00CE7A69" w:rsidP="00057D0C">
      <w:pPr>
        <w:pStyle w:val="DHHSbullet1"/>
        <w:spacing w:line="276" w:lineRule="auto"/>
        <w:ind w:left="851"/>
      </w:pPr>
      <w:r>
        <w:rPr>
          <w:b/>
          <w:bCs/>
        </w:rPr>
        <w:t>Milestone 5:</w:t>
      </w:r>
      <w:r>
        <w:t xml:space="preserve"> </w:t>
      </w:r>
      <w:bookmarkStart w:id="30" w:name="_Hlk17900237"/>
      <w:r>
        <w:t>Construction Contract signed (25%)</w:t>
      </w:r>
    </w:p>
    <w:bookmarkEnd w:id="30"/>
    <w:p w14:paraId="24995591" w14:textId="77777777" w:rsidR="00CE7A69" w:rsidRDefault="00CE7A69" w:rsidP="00057D0C">
      <w:pPr>
        <w:pStyle w:val="DHHSbullet1"/>
        <w:spacing w:line="276" w:lineRule="auto"/>
        <w:ind w:left="851"/>
      </w:pPr>
      <w:r>
        <w:rPr>
          <w:b/>
          <w:bCs/>
        </w:rPr>
        <w:t>Milestone 6:</w:t>
      </w:r>
      <w:r>
        <w:t xml:space="preserve"> Construction Completed (10%)</w:t>
      </w:r>
    </w:p>
    <w:p w14:paraId="29746927" w14:textId="77777777" w:rsidR="00CE7A69" w:rsidRDefault="00CE7A69" w:rsidP="00057D0C">
      <w:pPr>
        <w:pStyle w:val="DHHSbullet1"/>
        <w:spacing w:line="276" w:lineRule="auto"/>
        <w:ind w:left="851"/>
      </w:pPr>
      <w:r>
        <w:rPr>
          <w:b/>
          <w:bCs/>
        </w:rPr>
        <w:t>Milestone 7</w:t>
      </w:r>
      <w:r>
        <w:t>: Operations commence (10%)</w:t>
      </w:r>
    </w:p>
    <w:p w14:paraId="71F2CFF6" w14:textId="77777777" w:rsidR="00CE7A69" w:rsidRDefault="00CE7A69" w:rsidP="00057D0C">
      <w:pPr>
        <w:pStyle w:val="DHHSbullet1"/>
        <w:spacing w:line="276" w:lineRule="auto"/>
        <w:ind w:left="851"/>
      </w:pPr>
      <w:r>
        <w:rPr>
          <w:b/>
          <w:bCs/>
        </w:rPr>
        <w:t>Milestone 8:</w:t>
      </w:r>
      <w:r>
        <w:t xml:space="preserve"> Final Project Report (5%)</w:t>
      </w:r>
    </w:p>
    <w:p w14:paraId="0B21058F" w14:textId="77777777" w:rsidR="00CE7A69" w:rsidRDefault="00CE7A69" w:rsidP="00D8251B">
      <w:pPr>
        <w:pStyle w:val="DHHSnumberdigit"/>
        <w:numPr>
          <w:ilvl w:val="0"/>
          <w:numId w:val="36"/>
        </w:numPr>
        <w:spacing w:before="240"/>
      </w:pPr>
      <w:r>
        <w:t>Funding may be recalled by the department if projects do not proceed or are not completed in a timely manner.</w:t>
      </w:r>
    </w:p>
    <w:p w14:paraId="0CDEF5BA" w14:textId="77777777" w:rsidR="00CE7A69" w:rsidRDefault="00CE7A69" w:rsidP="003E1CC6">
      <w:pPr>
        <w:pStyle w:val="Heading2"/>
      </w:pPr>
      <w:bookmarkStart w:id="31" w:name="_Toc64016580"/>
      <w:r>
        <w:t>Reporting</w:t>
      </w:r>
      <w:bookmarkEnd w:id="31"/>
    </w:p>
    <w:p w14:paraId="60858B94" w14:textId="77777777" w:rsidR="00CE7A69" w:rsidRDefault="00CE7A69" w:rsidP="00CE7A69">
      <w:pPr>
        <w:pStyle w:val="DHHSnumberdigit"/>
        <w:numPr>
          <w:ilvl w:val="0"/>
          <w:numId w:val="36"/>
        </w:numPr>
      </w:pPr>
      <w:r>
        <w:t>A report on the status of the project will be provided to the department at agreed project milestones and at the completion of the project.</w:t>
      </w:r>
    </w:p>
    <w:p w14:paraId="7E4890A4" w14:textId="690D527C" w:rsidR="00CE7A69" w:rsidRDefault="00CE7A69" w:rsidP="00CE7A69">
      <w:pPr>
        <w:pStyle w:val="DHHSnumberdigit"/>
        <w:numPr>
          <w:ilvl w:val="0"/>
          <w:numId w:val="36"/>
        </w:numPr>
      </w:pPr>
      <w:r>
        <w:t xml:space="preserve">Health </w:t>
      </w:r>
      <w:r w:rsidR="00D8251B">
        <w:t>s</w:t>
      </w:r>
      <w:r>
        <w:t xml:space="preserve">ervices will be required to provide funding acquittals and fortnightly status reporting against milestones and liaise with their </w:t>
      </w:r>
      <w:r w:rsidR="00D8251B">
        <w:t xml:space="preserve">project manager </w:t>
      </w:r>
      <w:r>
        <w:t>on tender specifications and project deliverables.</w:t>
      </w:r>
    </w:p>
    <w:p w14:paraId="40E1E8A7" w14:textId="77777777" w:rsidR="00CE7A69" w:rsidRDefault="00CE7A69" w:rsidP="00CE7A69">
      <w:pPr>
        <w:pStyle w:val="DHHSnumberdigit"/>
        <w:numPr>
          <w:ilvl w:val="0"/>
          <w:numId w:val="36"/>
        </w:numPr>
      </w:pPr>
      <w:r>
        <w:t>A completion report is required to be submitted. The template will be provided during the course of the project.</w:t>
      </w:r>
    </w:p>
    <w:p w14:paraId="35A718EC" w14:textId="77777777" w:rsidR="00CE7A69" w:rsidRDefault="00CE7A69" w:rsidP="00CE7A69">
      <w:pPr>
        <w:pStyle w:val="DHHSnumberdigit"/>
        <w:numPr>
          <w:ilvl w:val="0"/>
          <w:numId w:val="36"/>
        </w:numPr>
      </w:pPr>
      <w:r>
        <w:t>The department must be notified if there is to be a prolonged delay in the asset procurement, installation or minor capital works.</w:t>
      </w:r>
    </w:p>
    <w:p w14:paraId="6673EFCC" w14:textId="77777777" w:rsidR="00CE7A69" w:rsidRDefault="00CE7A69" w:rsidP="003E1CC6">
      <w:pPr>
        <w:pStyle w:val="Heading2"/>
      </w:pPr>
      <w:bookmarkStart w:id="32" w:name="_Toc64016581"/>
      <w:r>
        <w:t>Procurement</w:t>
      </w:r>
      <w:bookmarkEnd w:id="32"/>
    </w:p>
    <w:p w14:paraId="08C34BB1" w14:textId="77777777" w:rsidR="00CE7A69" w:rsidRDefault="00CE7A69" w:rsidP="00CE7A69">
      <w:pPr>
        <w:pStyle w:val="DHHSnumberdigit"/>
        <w:numPr>
          <w:ilvl w:val="0"/>
          <w:numId w:val="36"/>
        </w:numPr>
      </w:pPr>
      <w:r>
        <w:t>Any proposed changes in scope must be agreed in writing prior to purchase commitment.</w:t>
      </w:r>
    </w:p>
    <w:p w14:paraId="473B6BF7" w14:textId="4E787432" w:rsidR="00CE7A69" w:rsidRDefault="00CE7A69" w:rsidP="00CE7A69">
      <w:pPr>
        <w:pStyle w:val="DHHSnumberdigit"/>
        <w:numPr>
          <w:ilvl w:val="0"/>
          <w:numId w:val="36"/>
        </w:numPr>
      </w:pPr>
      <w:r>
        <w:t xml:space="preserve">Health services must comply with government policies and guidelines in their procurement activities including the </w:t>
      </w:r>
      <w:hyperlink r:id="rId29" w:history="1">
        <w:r>
          <w:rPr>
            <w:rStyle w:val="Hyperlink"/>
          </w:rPr>
          <w:t>Social Procurement Framework</w:t>
        </w:r>
      </w:hyperlink>
      <w:r>
        <w:rPr>
          <w:rStyle w:val="Hyperlink"/>
        </w:rPr>
        <w:t xml:space="preserve"> </w:t>
      </w:r>
      <w:r>
        <w:t xml:space="preserve">&lt; </w:t>
      </w:r>
      <w:r w:rsidR="00057D0C" w:rsidRPr="00057D0C">
        <w:t>https://www.buyingfor.vic.gov.au/social-procurement-victorian-government-approach</w:t>
      </w:r>
      <w:r>
        <w:t>&gt;</w:t>
      </w:r>
      <w:r w:rsidR="00057D0C">
        <w:t xml:space="preserve"> </w:t>
      </w:r>
      <w:r>
        <w:t>(where applicable).</w:t>
      </w:r>
    </w:p>
    <w:p w14:paraId="4DA9B214" w14:textId="60EE4084" w:rsidR="00CE7A69" w:rsidRDefault="00CE7A69" w:rsidP="00CE7A69">
      <w:pPr>
        <w:pStyle w:val="DHHSnumberdigit"/>
        <w:numPr>
          <w:ilvl w:val="0"/>
          <w:numId w:val="36"/>
        </w:numPr>
        <w:rPr>
          <w:rFonts w:cs="Arial"/>
        </w:rPr>
      </w:pPr>
      <w:r>
        <w:rPr>
          <w:rFonts w:cs="Arial"/>
        </w:rPr>
        <w:t xml:space="preserve">The department requires health services to work collaboratively with Health Purchasing Victoria to maximise value-for-money procurement of medical equipment or plant items and deliver the most efficient purchasing arrangements, including bulk purchasing to achieve economies of scale. For further information refer to the procurement and purchasing requirements on the Health Purchasing Victoria website at </w:t>
      </w:r>
      <w:hyperlink r:id="rId30" w:history="1">
        <w:r>
          <w:rPr>
            <w:rStyle w:val="Hyperlink"/>
          </w:rPr>
          <w:t>Health Share Victoria</w:t>
        </w:r>
      </w:hyperlink>
      <w:r>
        <w:rPr>
          <w:rFonts w:cs="Arial"/>
        </w:rPr>
        <w:t xml:space="preserve"> &lt;</w:t>
      </w:r>
      <w:r w:rsidRPr="00057D0C">
        <w:rPr>
          <w:rFonts w:cs="Arial"/>
        </w:rPr>
        <w:t>https://www.hpv.org.au/</w:t>
      </w:r>
      <w:r>
        <w:t>&gt;</w:t>
      </w:r>
      <w:r w:rsidR="00B70F50">
        <w:t xml:space="preserve">. </w:t>
      </w:r>
      <w:r w:rsidR="00057D0C">
        <w:t xml:space="preserve"> </w:t>
      </w:r>
    </w:p>
    <w:p w14:paraId="022190D2" w14:textId="70A6F269" w:rsidR="00CE7A69" w:rsidRDefault="00CE7A69" w:rsidP="00CE7A69">
      <w:pPr>
        <w:pStyle w:val="DHHSnumberdigit"/>
        <w:numPr>
          <w:ilvl w:val="0"/>
          <w:numId w:val="36"/>
        </w:numPr>
        <w:rPr>
          <w:rStyle w:val="Hyperlink"/>
        </w:rPr>
      </w:pPr>
      <w:r w:rsidRPr="00D8251B">
        <w:t>Health services should include the use of Working for Victoria in any procurement tenders.  More information is a</w:t>
      </w:r>
      <w:r>
        <w:t>vailable at </w:t>
      </w:r>
      <w:hyperlink r:id="rId31" w:history="1">
        <w:r>
          <w:rPr>
            <w:rStyle w:val="Hyperlink"/>
          </w:rPr>
          <w:t>Working for Victoria</w:t>
        </w:r>
      </w:hyperlink>
      <w:r>
        <w:t xml:space="preserve"> &lt;</w:t>
      </w:r>
      <w:r w:rsidRPr="00057D0C">
        <w:t>https://www.vic.gov.au/working-victoria-information-jobseekers</w:t>
      </w:r>
      <w:r>
        <w:t>&gt;</w:t>
      </w:r>
      <w:r w:rsidR="00B70F50">
        <w:t xml:space="preserve">. </w:t>
      </w:r>
      <w:r w:rsidR="00057D0C">
        <w:t xml:space="preserve"> </w:t>
      </w:r>
    </w:p>
    <w:p w14:paraId="5CBD7CD0" w14:textId="77777777" w:rsidR="00CE7A69" w:rsidRDefault="00CE7A69" w:rsidP="003E1CC6">
      <w:pPr>
        <w:pStyle w:val="Heading2"/>
        <w:rPr>
          <w:rFonts w:eastAsia="MS Mincho"/>
        </w:rPr>
      </w:pPr>
      <w:bookmarkStart w:id="33" w:name="_Toc64016582"/>
      <w:r>
        <w:rPr>
          <w:rFonts w:eastAsia="MS Mincho"/>
        </w:rPr>
        <w:lastRenderedPageBreak/>
        <w:t>Disposal</w:t>
      </w:r>
      <w:bookmarkEnd w:id="33"/>
    </w:p>
    <w:p w14:paraId="6C6A1E10" w14:textId="729F4E16" w:rsidR="00CE7A69" w:rsidRDefault="00CE7A69" w:rsidP="00CE7A69">
      <w:pPr>
        <w:pStyle w:val="DHHSnumberdigit"/>
        <w:numPr>
          <w:ilvl w:val="0"/>
          <w:numId w:val="36"/>
        </w:numPr>
        <w:rPr>
          <w:rFonts w:cs="Arial"/>
        </w:rPr>
      </w:pPr>
      <w:r>
        <w:rPr>
          <w:rFonts w:cs="Arial"/>
        </w:rPr>
        <w:t xml:space="preserve">Medical equipment / plant / engineering infrastructure replaced must be decommissioned and disposed of in accordance with appropriate and required standards. For further details on decommissioning and disposal refer to the </w:t>
      </w:r>
      <w:r w:rsidRPr="00D8251B">
        <w:rPr>
          <w:rFonts w:cs="Arial"/>
          <w:i/>
          <w:iCs/>
        </w:rPr>
        <w:t>Medical equipment asset management framework</w:t>
      </w:r>
      <w:r>
        <w:rPr>
          <w:rFonts w:cs="Arial"/>
        </w:rPr>
        <w:t xml:space="preserve"> at </w:t>
      </w:r>
      <w:hyperlink r:id="rId32" w:history="1">
        <w:r>
          <w:rPr>
            <w:rStyle w:val="Hyperlink"/>
            <w:rFonts w:cs="Arial"/>
          </w:rPr>
          <w:t>Medical equipment and engineering infrastructure</w:t>
        </w:r>
      </w:hyperlink>
      <w:r>
        <w:rPr>
          <w:rFonts w:cs="Arial"/>
        </w:rPr>
        <w:t xml:space="preserve"> &lt;</w:t>
      </w:r>
      <w:r w:rsidRPr="00057D0C">
        <w:t>https://www2.health.vic.gov.au/hospitals-and-health-services/planning-infrastructure/medical-equipment</w:t>
      </w:r>
      <w:r>
        <w:t>&gt;</w:t>
      </w:r>
      <w:r w:rsidR="00057D0C">
        <w:t xml:space="preserve">. </w:t>
      </w:r>
    </w:p>
    <w:p w14:paraId="3E104F3D" w14:textId="77777777" w:rsidR="00CE7A69" w:rsidRDefault="00CE7A69" w:rsidP="00CE7A69">
      <w:pPr>
        <w:pStyle w:val="DHHSnumberdigit"/>
        <w:numPr>
          <w:ilvl w:val="0"/>
          <w:numId w:val="36"/>
        </w:numPr>
        <w:rPr>
          <w:rFonts w:cs="Arial"/>
        </w:rPr>
      </w:pPr>
      <w:r>
        <w:rPr>
          <w:rFonts w:cs="Arial"/>
        </w:rPr>
        <w:t>The finance register, asset register, equipment and engineering registers and asset management plans will be updated by the agency for both the disposal of the replaced asset and the acquisition of the replacement asset including the date of disposal.</w:t>
      </w:r>
    </w:p>
    <w:p w14:paraId="12BCA1B8" w14:textId="77777777" w:rsidR="00CE7A69" w:rsidRDefault="00CE7A69" w:rsidP="00CE7A69">
      <w:pPr>
        <w:spacing w:after="0" w:line="240" w:lineRule="auto"/>
        <w:rPr>
          <w:rFonts w:ascii="Arial" w:eastAsia="MS Mincho" w:hAnsi="Arial" w:cs="Arial"/>
          <w:b/>
          <w:szCs w:val="44"/>
          <w:highlight w:val="green"/>
        </w:rPr>
      </w:pPr>
      <w:r>
        <w:rPr>
          <w:rFonts w:ascii="Arial" w:eastAsia="MS Mincho" w:hAnsi="Arial" w:cs="Arial"/>
          <w:b/>
          <w:szCs w:val="44"/>
          <w:highlight w:val="green"/>
        </w:rPr>
        <w:br w:type="page"/>
      </w:r>
    </w:p>
    <w:p w14:paraId="6994B90D" w14:textId="08D25A4A" w:rsidR="00CE7A69" w:rsidRPr="003E1CC6" w:rsidRDefault="00CE7A69" w:rsidP="003E1CC6">
      <w:pPr>
        <w:pStyle w:val="Heading1"/>
      </w:pPr>
      <w:bookmarkStart w:id="34" w:name="_Toc64016583"/>
      <w:bookmarkStart w:id="35" w:name="_Hlk60931930"/>
      <w:bookmarkEnd w:id="5"/>
      <w:bookmarkEnd w:id="17"/>
      <w:r w:rsidRPr="003E1CC6">
        <w:lastRenderedPageBreak/>
        <w:t>Appendix 1</w:t>
      </w:r>
      <w:r w:rsidR="003E1CC6">
        <w:t xml:space="preserve">: </w:t>
      </w:r>
      <w:r w:rsidRPr="003E1CC6">
        <w:t xml:space="preserve">Construction </w:t>
      </w:r>
      <w:r w:rsidR="003E1CC6">
        <w:t>p</w:t>
      </w:r>
      <w:r w:rsidRPr="003E1CC6">
        <w:t xml:space="preserve">rojects in Victoria - </w:t>
      </w:r>
      <w:r w:rsidR="003E1CC6">
        <w:t>r</w:t>
      </w:r>
      <w:r w:rsidRPr="003E1CC6">
        <w:t xml:space="preserve">eferences and </w:t>
      </w:r>
      <w:r w:rsidR="003E1CC6">
        <w:t>l</w:t>
      </w:r>
      <w:r w:rsidRPr="003E1CC6">
        <w:t>inks</w:t>
      </w:r>
      <w:bookmarkEnd w:id="34"/>
    </w:p>
    <w:bookmarkEnd w:id="35"/>
    <w:p w14:paraId="098C242F" w14:textId="55D62E40" w:rsidR="00CE7A69" w:rsidRDefault="00CE7A69" w:rsidP="00CE7A69">
      <w:pPr>
        <w:pStyle w:val="DHHSbody"/>
        <w:rPr>
          <w:rFonts w:cs="Arial"/>
        </w:rPr>
      </w:pPr>
      <w:r>
        <w:rPr>
          <w:rFonts w:cs="Arial"/>
        </w:rPr>
        <w:t xml:space="preserve">The following sites provide an overview of the requirements for </w:t>
      </w:r>
      <w:r w:rsidR="00D8251B">
        <w:rPr>
          <w:rFonts w:cs="Arial"/>
        </w:rPr>
        <w:t>g</w:t>
      </w:r>
      <w:r>
        <w:rPr>
          <w:rFonts w:cs="Arial"/>
        </w:rPr>
        <w:t>overnment funded projects in Victoria.</w:t>
      </w:r>
    </w:p>
    <w:p w14:paraId="6054C73C" w14:textId="77777777" w:rsidR="00CE7A69" w:rsidRPr="003E1CC6" w:rsidRDefault="00CE7A69" w:rsidP="003E1CC6">
      <w:pPr>
        <w:pStyle w:val="Heading2"/>
      </w:pPr>
      <w:bookmarkStart w:id="36" w:name="_Toc59005958"/>
      <w:bookmarkStart w:id="37" w:name="_Toc64016584"/>
      <w:r w:rsidRPr="003E1CC6">
        <w:t>Department of Health and Human Services website</w:t>
      </w:r>
      <w:bookmarkEnd w:id="36"/>
      <w:bookmarkEnd w:id="37"/>
    </w:p>
    <w:p w14:paraId="2F6C306D" w14:textId="77777777" w:rsidR="00CE7A69" w:rsidRDefault="008813E2" w:rsidP="00B70F50">
      <w:pPr>
        <w:pStyle w:val="VHHSBAbody"/>
        <w:rPr>
          <w:rStyle w:val="Hyperlink"/>
        </w:rPr>
      </w:pPr>
      <w:hyperlink r:id="rId33" w:history="1">
        <w:r w:rsidR="00CE7A69">
          <w:rPr>
            <w:rStyle w:val="Hyperlink"/>
          </w:rPr>
          <w:t>Planning and Development Guidelines, Essential Services Guidelines, Property Management</w:t>
        </w:r>
      </w:hyperlink>
      <w:r w:rsidR="00CE7A69">
        <w:rPr>
          <w:rStyle w:val="Hyperlink"/>
        </w:rPr>
        <w:t xml:space="preserve"> </w:t>
      </w:r>
      <w:r w:rsidR="00CE7A69">
        <w:rPr>
          <w:rStyle w:val="Hyperlink"/>
          <w:color w:val="000000" w:themeColor="text1"/>
        </w:rPr>
        <w:t>&lt;http://www.capital.health.vic.gov.au/&gt;</w:t>
      </w:r>
    </w:p>
    <w:p w14:paraId="648A8117" w14:textId="77777777" w:rsidR="00CE7A69" w:rsidRDefault="008813E2" w:rsidP="00B70F50">
      <w:pPr>
        <w:pStyle w:val="VHHSBAbody"/>
      </w:pPr>
      <w:hyperlink r:id="rId34" w:history="1">
        <w:r w:rsidR="00CE7A69">
          <w:rPr>
            <w:rStyle w:val="Hyperlink"/>
          </w:rPr>
          <w:t>Australasian Health Facility Guidelines</w:t>
        </w:r>
      </w:hyperlink>
      <w:r w:rsidR="00CE7A69">
        <w:t xml:space="preserve"> &lt;https://healthfacilityguidelines.com.au/&gt;</w:t>
      </w:r>
    </w:p>
    <w:p w14:paraId="308731BD" w14:textId="77777777" w:rsidR="00CE7A69" w:rsidRDefault="008813E2" w:rsidP="00B70F50">
      <w:pPr>
        <w:pStyle w:val="VHHSBAbody"/>
      </w:pPr>
      <w:hyperlink r:id="rId35" w:history="1">
        <w:r w:rsidR="00CE7A69">
          <w:rPr>
            <w:rStyle w:val="Hyperlink"/>
          </w:rPr>
          <w:t>Fire Risk Management</w:t>
        </w:r>
      </w:hyperlink>
      <w:r w:rsidR="00CE7A69">
        <w:t xml:space="preserve"> &lt;https://providers.dhhs.vic.gov.au/fire-risk-management-procedures-and-guidelines&gt;  </w:t>
      </w:r>
    </w:p>
    <w:p w14:paraId="4D8BE618" w14:textId="77777777" w:rsidR="00CE7A69" w:rsidRDefault="00CE7A69" w:rsidP="00B70F50">
      <w:pPr>
        <w:pStyle w:val="Heading2"/>
      </w:pPr>
      <w:bookmarkStart w:id="38" w:name="_Toc59005959"/>
      <w:bookmarkStart w:id="39" w:name="_Toc64016585"/>
      <w:r>
        <w:t>Victorian Health and Human Services Building Authority</w:t>
      </w:r>
      <w:bookmarkEnd w:id="38"/>
      <w:r>
        <w:t xml:space="preserve"> website</w:t>
      </w:r>
      <w:bookmarkEnd w:id="39"/>
    </w:p>
    <w:p w14:paraId="0B06F6AC" w14:textId="77777777" w:rsidR="00CE7A69" w:rsidRPr="00D8251B" w:rsidRDefault="008813E2" w:rsidP="00B70F50">
      <w:pPr>
        <w:pStyle w:val="VHHSBAbody"/>
        <w:rPr>
          <w:rStyle w:val="Hyperlink"/>
          <w:color w:val="auto"/>
          <w:u w:val="none"/>
        </w:rPr>
      </w:pPr>
      <w:hyperlink r:id="rId36" w:history="1">
        <w:r w:rsidR="00CE7A69">
          <w:rPr>
            <w:rStyle w:val="Hyperlink"/>
            <w:color w:val="0074BC" w:themeColor="accent1"/>
          </w:rPr>
          <w:t>Design Guidelines</w:t>
        </w:r>
      </w:hyperlink>
      <w:r w:rsidR="00CE7A69">
        <w:rPr>
          <w:rStyle w:val="Hyperlink"/>
        </w:rPr>
        <w:t xml:space="preserve"> </w:t>
      </w:r>
      <w:r w:rsidR="00CE7A69" w:rsidRPr="00D8251B">
        <w:rPr>
          <w:rStyle w:val="Hyperlink"/>
          <w:color w:val="auto"/>
          <w:u w:val="none"/>
        </w:rPr>
        <w:t>&lt;https://www.vhhsba.vic.gov.au/resources/design-guidelines&gt;</w:t>
      </w:r>
    </w:p>
    <w:p w14:paraId="2531D0B2" w14:textId="1E45AD38" w:rsidR="00CE7A69" w:rsidRDefault="008813E2" w:rsidP="00B70F50">
      <w:pPr>
        <w:pStyle w:val="VHHSBAbody"/>
        <w:rPr>
          <w:rStyle w:val="Hyperlink"/>
        </w:rPr>
      </w:pPr>
      <w:hyperlink r:id="rId37" w:history="1">
        <w:r w:rsidR="00CE7A69">
          <w:rPr>
            <w:rStyle w:val="Hyperlink"/>
          </w:rPr>
          <w:t>Universal Design Guidelines</w:t>
        </w:r>
      </w:hyperlink>
      <w:r w:rsidR="00CE7A69">
        <w:rPr>
          <w:rStyle w:val="Hyperlink"/>
        </w:rPr>
        <w:t xml:space="preserve"> </w:t>
      </w:r>
      <w:r w:rsidR="00CE7A69">
        <w:rPr>
          <w:rStyle w:val="Hyperlink"/>
          <w:color w:val="000000" w:themeColor="text1"/>
        </w:rPr>
        <w:t>&lt;</w:t>
      </w:r>
      <w:r w:rsidR="00CE7A69" w:rsidRPr="00D8251B">
        <w:t>https://www.vhhsba.vic.gov.au/resources/universal-design</w:t>
      </w:r>
      <w:r w:rsidR="00CE7A69">
        <w:rPr>
          <w:rStyle w:val="Hyperlink"/>
          <w:color w:val="000000" w:themeColor="text1"/>
        </w:rPr>
        <w:t xml:space="preserve">&gt; </w:t>
      </w:r>
    </w:p>
    <w:p w14:paraId="031FF696" w14:textId="5E7659E3" w:rsidR="00CE7A69" w:rsidRDefault="008813E2" w:rsidP="00B70F50">
      <w:pPr>
        <w:pStyle w:val="VHHSBAbody"/>
        <w:rPr>
          <w:rStyle w:val="Hyperlink"/>
        </w:rPr>
      </w:pPr>
      <w:hyperlink r:id="rId38" w:history="1">
        <w:r w:rsidR="00CE7A69">
          <w:rPr>
            <w:rStyle w:val="Hyperlink"/>
          </w:rPr>
          <w:t>Technical Guidelines</w:t>
        </w:r>
      </w:hyperlink>
      <w:r w:rsidR="00CE7A69">
        <w:rPr>
          <w:rStyle w:val="Hyperlink"/>
        </w:rPr>
        <w:t xml:space="preserve"> </w:t>
      </w:r>
      <w:r w:rsidR="00CE7A69">
        <w:rPr>
          <w:rStyle w:val="Hyperlink"/>
          <w:color w:val="000000" w:themeColor="text1"/>
        </w:rPr>
        <w:t>&lt;</w:t>
      </w:r>
      <w:r w:rsidR="00CE7A69" w:rsidRPr="00D8251B">
        <w:t>https://www.vhhsba.vic.gov.au/resources/technical-guidelines</w:t>
      </w:r>
      <w:r w:rsidR="00CE7A69">
        <w:rPr>
          <w:rStyle w:val="Hyperlink"/>
          <w:color w:val="000000" w:themeColor="text1"/>
        </w:rPr>
        <w:t>&gt;</w:t>
      </w:r>
    </w:p>
    <w:p w14:paraId="7C439BA0" w14:textId="77777777" w:rsidR="00CE7A69" w:rsidRDefault="00CE7A69" w:rsidP="00B70F50">
      <w:pPr>
        <w:pStyle w:val="VHHSBAbody"/>
        <w:rPr>
          <w:rStyle w:val="Hyperlink"/>
        </w:rPr>
      </w:pPr>
      <w:r>
        <w:rPr>
          <w:rStyle w:val="Hyperlink"/>
        </w:rPr>
        <w:t xml:space="preserve">Master Planning Guidelines </w:t>
      </w:r>
      <w:r>
        <w:rPr>
          <w:rStyle w:val="Hyperlink"/>
          <w:color w:val="000000" w:themeColor="text1"/>
        </w:rPr>
        <w:t>&lt;</w:t>
      </w:r>
      <w:hyperlink r:id="rId39" w:history="1">
        <w:r>
          <w:rPr>
            <w:rStyle w:val="Hyperlink"/>
            <w:color w:val="000000" w:themeColor="text1"/>
          </w:rPr>
          <w:t>https://www.vhhsba.vic.gov.au/masterplanning</w:t>
        </w:r>
      </w:hyperlink>
      <w:r>
        <w:rPr>
          <w:rStyle w:val="Hyperlink"/>
          <w:color w:val="000000" w:themeColor="text1"/>
        </w:rPr>
        <w:t>&gt;</w:t>
      </w:r>
    </w:p>
    <w:p w14:paraId="48B63FBD" w14:textId="77777777" w:rsidR="00CE7A69" w:rsidRDefault="008813E2" w:rsidP="00B70F50">
      <w:pPr>
        <w:pStyle w:val="VHHSBAbody"/>
        <w:rPr>
          <w:rStyle w:val="Hyperlink"/>
        </w:rPr>
      </w:pPr>
      <w:hyperlink r:id="rId40" w:history="1">
        <w:r w:rsidR="00CE7A69">
          <w:rPr>
            <w:rStyle w:val="Hyperlink"/>
          </w:rPr>
          <w:t>Changing Places Design Specifications 2020</w:t>
        </w:r>
      </w:hyperlink>
      <w:r w:rsidR="00CE7A69">
        <w:rPr>
          <w:rStyle w:val="Hyperlink"/>
        </w:rPr>
        <w:t xml:space="preserve"> &lt;</w:t>
      </w:r>
      <w:r w:rsidR="00CE7A69">
        <w:t>https://www.vhhsba.vic.gov.au/resources/design-guidelines</w:t>
      </w:r>
      <w:r w:rsidR="00CE7A69">
        <w:rPr>
          <w:rStyle w:val="Hyperlink"/>
        </w:rPr>
        <w:t>&gt;</w:t>
      </w:r>
    </w:p>
    <w:p w14:paraId="12B814BF" w14:textId="63B971BA" w:rsidR="00CE7A69" w:rsidRPr="00D8251B" w:rsidRDefault="008813E2" w:rsidP="00B70F50">
      <w:pPr>
        <w:pStyle w:val="VHHSBAbody"/>
        <w:rPr>
          <w:rStyle w:val="Hyperlink"/>
          <w:u w:val="none"/>
        </w:rPr>
      </w:pPr>
      <w:hyperlink r:id="rId41" w:history="1">
        <w:r w:rsidR="00CE7A69">
          <w:rPr>
            <w:rStyle w:val="Hyperlink"/>
          </w:rPr>
          <w:t>Public sector residential aged care services [Interim] Facility design guidelines</w:t>
        </w:r>
      </w:hyperlink>
      <w:r w:rsidR="00CE7A69">
        <w:rPr>
          <w:rStyle w:val="Hyperlink"/>
        </w:rPr>
        <w:t xml:space="preserve"> </w:t>
      </w:r>
      <w:r w:rsidR="00CE7A69" w:rsidRPr="00D8251B">
        <w:rPr>
          <w:rStyle w:val="Hyperlink"/>
          <w:u w:val="none"/>
        </w:rPr>
        <w:t>&lt;</w:t>
      </w:r>
      <w:r w:rsidR="00CE7A69" w:rsidRPr="00D8251B">
        <w:t>https://www.vhhsba.vic.gov.au/public-sector-residential-aged-care-services-interim-facility-design-guidelines&gt;</w:t>
      </w:r>
    </w:p>
    <w:p w14:paraId="3B00AA1F" w14:textId="77777777" w:rsidR="00CE7A69" w:rsidRDefault="00CE7A69" w:rsidP="00B70F50">
      <w:pPr>
        <w:pStyle w:val="Heading2"/>
      </w:pPr>
      <w:bookmarkStart w:id="40" w:name="_Toc59005960"/>
      <w:bookmarkStart w:id="41" w:name="_Toc64016586"/>
      <w:r>
        <w:t>Department of Treasury and Finance website</w:t>
      </w:r>
      <w:bookmarkEnd w:id="40"/>
      <w:bookmarkEnd w:id="41"/>
    </w:p>
    <w:p w14:paraId="238B2CB9" w14:textId="77777777" w:rsidR="00CE7A69" w:rsidRDefault="008813E2" w:rsidP="00B70F50">
      <w:pPr>
        <w:pStyle w:val="VHHSBAbody"/>
      </w:pPr>
      <w:hyperlink r:id="rId42" w:history="1">
        <w:r w:rsidR="00CE7A69">
          <w:rPr>
            <w:rStyle w:val="Hyperlink"/>
          </w:rPr>
          <w:t>Delivery of Government Funded projects in Victoria</w:t>
        </w:r>
      </w:hyperlink>
      <w:r w:rsidR="00CE7A69">
        <w:t xml:space="preserve"> &lt;https://www.dtf.vic.gov.au/infrastructure-investment/public-construction-policy-and-resources&gt;</w:t>
      </w:r>
    </w:p>
    <w:p w14:paraId="2D3F774C" w14:textId="4E59D594" w:rsidR="00CE7A69" w:rsidRDefault="008813E2" w:rsidP="00B70F50">
      <w:pPr>
        <w:pStyle w:val="VHHSBAbody"/>
        <w:rPr>
          <w:rFonts w:eastAsia="Times New Roman"/>
          <w:u w:val="dotted"/>
        </w:rPr>
      </w:pPr>
      <w:hyperlink r:id="rId43" w:history="1">
        <w:r w:rsidR="00CE7A69">
          <w:rPr>
            <w:rStyle w:val="Hyperlink"/>
          </w:rPr>
          <w:t>Ministerial Directions and Instructions – Public Construction Procurement</w:t>
        </w:r>
      </w:hyperlink>
      <w:r w:rsidR="00CE7A69">
        <w:t xml:space="preserve"> &lt;</w:t>
      </w:r>
      <w:r w:rsidR="00CE7A69" w:rsidRPr="00D8251B">
        <w:t>https://www.dtf.vic.gov.au/public-construction-policy-and-resources/ministerial-directions-and-instructions-public-construction-procurement</w:t>
      </w:r>
      <w:r w:rsidR="00CE7A69">
        <w:t>&gt;</w:t>
      </w:r>
      <w:r w:rsidR="00D8251B">
        <w:t xml:space="preserve"> </w:t>
      </w:r>
    </w:p>
    <w:p w14:paraId="76D05A06" w14:textId="77777777" w:rsidR="00CE7A69" w:rsidRDefault="008813E2" w:rsidP="00B70F50">
      <w:pPr>
        <w:pStyle w:val="VHHSBAbody"/>
        <w:rPr>
          <w:color w:val="3366FF"/>
          <w:u w:val="dotted"/>
        </w:rPr>
      </w:pPr>
      <w:hyperlink r:id="rId44" w:history="1">
        <w:r w:rsidR="00CE7A69">
          <w:rPr>
            <w:rStyle w:val="Hyperlink"/>
          </w:rPr>
          <w:t>Practitioners Toolkit</w:t>
        </w:r>
      </w:hyperlink>
      <w:r w:rsidR="00CE7A69">
        <w:t xml:space="preserve"> &lt;https://www.dtf.vic.gov.au/public-construction-policy-and-resources/practitioners-toolkit&gt; </w:t>
      </w:r>
    </w:p>
    <w:p w14:paraId="321A99F5" w14:textId="77777777" w:rsidR="00CE7A69" w:rsidRDefault="008813E2" w:rsidP="00B70F50">
      <w:pPr>
        <w:pStyle w:val="VHHSBAbody"/>
      </w:pPr>
      <w:hyperlink r:id="rId45" w:history="1">
        <w:r w:rsidR="00CE7A69">
          <w:rPr>
            <w:rStyle w:val="Hyperlink"/>
          </w:rPr>
          <w:t>Construction Supplier Register</w:t>
        </w:r>
      </w:hyperlink>
      <w:r w:rsidR="00CE7A69">
        <w:t xml:space="preserve"> &lt;https://www.dtf.vic.gov.au/infrastructure-investment/construction-supplier-register&gt; </w:t>
      </w:r>
    </w:p>
    <w:p w14:paraId="4191168F" w14:textId="4BD9BC51" w:rsidR="00CE7A69" w:rsidRDefault="008813E2" w:rsidP="00B70F50">
      <w:pPr>
        <w:pStyle w:val="VHHSBAbody"/>
      </w:pPr>
      <w:hyperlink r:id="rId46" w:history="1">
        <w:r w:rsidR="00CE7A69">
          <w:rPr>
            <w:rStyle w:val="Hyperlink"/>
          </w:rPr>
          <w:t>Full Business Case Template</w:t>
        </w:r>
      </w:hyperlink>
      <w:r w:rsidR="00CE7A69">
        <w:t xml:space="preserve"> &lt;</w:t>
      </w:r>
      <w:r w:rsidR="00CE7A69" w:rsidRPr="00D8251B">
        <w:t>https://www.dtf.vic.gov.au/investment-lifecycle-and-high-value-high-risk-guidelines/stage-1-business-case</w:t>
      </w:r>
      <w:r w:rsidR="00CE7A69">
        <w:t>&gt;</w:t>
      </w:r>
      <w:r w:rsidR="00D8251B">
        <w:t xml:space="preserve"> </w:t>
      </w:r>
    </w:p>
    <w:p w14:paraId="761B3B85" w14:textId="77777777" w:rsidR="00CE7A69" w:rsidRPr="00B70F50" w:rsidRDefault="00CE7A69" w:rsidP="00B70F50">
      <w:pPr>
        <w:pStyle w:val="Heading2"/>
      </w:pPr>
      <w:bookmarkStart w:id="42" w:name="_Toc59005961"/>
      <w:bookmarkStart w:id="43" w:name="_Toc64016587"/>
      <w:r w:rsidRPr="00B70F50">
        <w:t>Local Jobs First website</w:t>
      </w:r>
      <w:bookmarkEnd w:id="42"/>
      <w:bookmarkEnd w:id="43"/>
    </w:p>
    <w:p w14:paraId="0DC759C7" w14:textId="17BBF8C6" w:rsidR="00CE7A69" w:rsidRDefault="008813E2" w:rsidP="00B70F50">
      <w:pPr>
        <w:pStyle w:val="VHHSBAbody"/>
      </w:pPr>
      <w:hyperlink r:id="rId47" w:history="1">
        <w:r w:rsidR="00CE7A69">
          <w:rPr>
            <w:rStyle w:val="Hyperlink"/>
          </w:rPr>
          <w:t>Victorian Industry Participation Policy</w:t>
        </w:r>
      </w:hyperlink>
      <w:r w:rsidR="00CE7A69">
        <w:t xml:space="preserve"> </w:t>
      </w:r>
      <w:r w:rsidR="00D8251B">
        <w:t>&lt;</w:t>
      </w:r>
      <w:r w:rsidR="00D8251B" w:rsidRPr="00D8251B">
        <w:t>https://localjobsfirst.vic.gov.au/about/local-jobs-first</w:t>
      </w:r>
      <w:r w:rsidR="00D8251B">
        <w:t xml:space="preserve">&gt; </w:t>
      </w:r>
    </w:p>
    <w:p w14:paraId="33CBCF88" w14:textId="77777777" w:rsidR="00CE7A69" w:rsidRDefault="008813E2" w:rsidP="00B70F50">
      <w:pPr>
        <w:pStyle w:val="VHHSBAbody"/>
      </w:pPr>
      <w:hyperlink r:id="rId48" w:history="1">
        <w:r w:rsidR="00CE7A69">
          <w:rPr>
            <w:rStyle w:val="Hyperlink"/>
          </w:rPr>
          <w:t>Major Projects Skills Guarantee</w:t>
        </w:r>
      </w:hyperlink>
      <w:r w:rsidR="00CE7A69">
        <w:t xml:space="preserve"> &lt;https://localjobsfirst.vic.gov.au/agency-guidance/major-project-skills-guarantee&gt; </w:t>
      </w:r>
    </w:p>
    <w:p w14:paraId="2CE55CA3" w14:textId="77777777" w:rsidR="00CE7A69" w:rsidRPr="00B70F50" w:rsidRDefault="00CE7A69" w:rsidP="00B70F50">
      <w:pPr>
        <w:pStyle w:val="Heading2"/>
      </w:pPr>
      <w:bookmarkStart w:id="44" w:name="_Toc59005962"/>
      <w:bookmarkStart w:id="45" w:name="_Toc64016588"/>
      <w:r w:rsidRPr="00B70F50">
        <w:t>Jobs Victoria website</w:t>
      </w:r>
      <w:bookmarkEnd w:id="44"/>
      <w:bookmarkEnd w:id="45"/>
    </w:p>
    <w:p w14:paraId="761FB6F2" w14:textId="43C38577" w:rsidR="00CE7A69" w:rsidRDefault="008813E2" w:rsidP="00CE7A69">
      <w:pPr>
        <w:pStyle w:val="DHHSbody"/>
        <w:rPr>
          <w:rFonts w:cs="Arial"/>
        </w:rPr>
      </w:pPr>
      <w:hyperlink r:id="rId49" w:history="1">
        <w:r w:rsidR="00CE7A69">
          <w:rPr>
            <w:rStyle w:val="Hyperlink"/>
          </w:rPr>
          <w:t>Working for Victoria</w:t>
        </w:r>
      </w:hyperlink>
      <w:r w:rsidR="00CE7A69">
        <w:t xml:space="preserve">  &lt;https://www.coronavirus.vic.gov.au/find-work-or-employees-fast-working-victoria&gt;</w:t>
      </w:r>
    </w:p>
    <w:p w14:paraId="3C176715" w14:textId="77777777" w:rsidR="00B70F50" w:rsidRDefault="00B70F50">
      <w:pPr>
        <w:spacing w:after="0" w:line="240" w:lineRule="auto"/>
        <w:rPr>
          <w:rFonts w:ascii="Arial" w:eastAsia="Times New Roman" w:hAnsi="Arial"/>
          <w:b/>
          <w:color w:val="0074BC" w:themeColor="text2"/>
          <w:sz w:val="28"/>
          <w:szCs w:val="28"/>
        </w:rPr>
      </w:pPr>
      <w:bookmarkStart w:id="46" w:name="_Toc59005963"/>
      <w:r>
        <w:br w:type="page"/>
      </w:r>
    </w:p>
    <w:p w14:paraId="3FA8FB55" w14:textId="0C0BCF2B" w:rsidR="00CE7A69" w:rsidRPr="00B70F50" w:rsidRDefault="00B70F50" w:rsidP="00B70F50">
      <w:pPr>
        <w:pStyle w:val="Heading2"/>
      </w:pPr>
      <w:bookmarkStart w:id="47" w:name="_Toc64016589"/>
      <w:r>
        <w:lastRenderedPageBreak/>
        <w:t>C</w:t>
      </w:r>
      <w:r w:rsidR="00CE7A69" w:rsidRPr="00B70F50">
        <w:t xml:space="preserve">ommonwealth </w:t>
      </w:r>
      <w:r w:rsidR="003E1CC6" w:rsidRPr="00B70F50">
        <w:t>policies and procedu</w:t>
      </w:r>
      <w:r w:rsidR="00CE7A69" w:rsidRPr="00B70F50">
        <w:t>res</w:t>
      </w:r>
      <w:bookmarkEnd w:id="46"/>
      <w:bookmarkEnd w:id="47"/>
      <w:r w:rsidR="00CE7A69" w:rsidRPr="00B70F50">
        <w:t xml:space="preserve"> </w:t>
      </w:r>
    </w:p>
    <w:p w14:paraId="50BEB528" w14:textId="520DE379" w:rsidR="00CE7A69" w:rsidRDefault="008813E2" w:rsidP="00CE7A69">
      <w:pPr>
        <w:pStyle w:val="DHHSbody"/>
        <w:rPr>
          <w:rFonts w:eastAsia="Times New Roman" w:cs="Arial"/>
          <w:color w:val="3366FF"/>
          <w:u w:val="dotted"/>
        </w:rPr>
      </w:pPr>
      <w:hyperlink r:id="rId50" w:history="1">
        <w:r w:rsidR="00CE7A69">
          <w:rPr>
            <w:rStyle w:val="Hyperlink"/>
            <w:rFonts w:cs="Arial"/>
          </w:rPr>
          <w:t>Building and Construction Industry (Improving Productivity) Act 2016</w:t>
        </w:r>
      </w:hyperlink>
      <w:r w:rsidR="00CE7A69">
        <w:rPr>
          <w:rFonts w:cs="Arial"/>
        </w:rPr>
        <w:t xml:space="preserve"> &lt;</w:t>
      </w:r>
      <w:r w:rsidR="00CE7A69" w:rsidRPr="00D8251B">
        <w:rPr>
          <w:rFonts w:cs="Arial"/>
        </w:rPr>
        <w:t>https://www.legislation.gov.au/Details/C2017C00042</w:t>
      </w:r>
      <w:r w:rsidR="00CE7A69">
        <w:rPr>
          <w:rFonts w:cs="Arial"/>
        </w:rPr>
        <w:t>&gt;</w:t>
      </w:r>
      <w:r w:rsidR="00D8251B">
        <w:rPr>
          <w:rFonts w:cs="Arial"/>
        </w:rPr>
        <w:t xml:space="preserve"> </w:t>
      </w:r>
    </w:p>
    <w:p w14:paraId="3F38B219" w14:textId="242DAF3E" w:rsidR="00CE7A69" w:rsidRDefault="008813E2" w:rsidP="00CE7A69">
      <w:pPr>
        <w:pStyle w:val="DHHSbody"/>
        <w:rPr>
          <w:rFonts w:eastAsiaTheme="minorEastAsia" w:cs="Arial"/>
          <w:color w:val="3366FF"/>
          <w:u w:val="dotted"/>
          <w:lang w:eastAsia="en-AU"/>
        </w:rPr>
      </w:pPr>
      <w:hyperlink r:id="rId51" w:history="1">
        <w:r w:rsidR="00CE7A69">
          <w:rPr>
            <w:rStyle w:val="Hyperlink"/>
            <w:rFonts w:cs="Arial"/>
          </w:rPr>
          <w:t>Code for the Tendering and Performance of Building Work 2016</w:t>
        </w:r>
      </w:hyperlink>
      <w:r w:rsidR="00CE7A69">
        <w:rPr>
          <w:rFonts w:cs="Arial"/>
        </w:rPr>
        <w:t xml:space="preserve"> &lt;</w:t>
      </w:r>
      <w:r w:rsidR="00CE7A69" w:rsidRPr="00D8251B">
        <w:rPr>
          <w:rFonts w:cs="Arial"/>
        </w:rPr>
        <w:t>https://www.legislation.gov.au/Details/F2017C00125</w:t>
      </w:r>
      <w:r w:rsidR="00CE7A69">
        <w:rPr>
          <w:rFonts w:cs="Arial"/>
        </w:rPr>
        <w:t>&gt;</w:t>
      </w:r>
      <w:r w:rsidR="00D8251B">
        <w:rPr>
          <w:rFonts w:cs="Arial"/>
        </w:rPr>
        <w:t xml:space="preserve"> </w:t>
      </w:r>
    </w:p>
    <w:p w14:paraId="7D153881" w14:textId="77777777" w:rsidR="00CE7A69" w:rsidRDefault="008813E2" w:rsidP="00CE7A69">
      <w:pPr>
        <w:pStyle w:val="DHHSbody"/>
        <w:rPr>
          <w:rFonts w:cs="Arial"/>
        </w:rPr>
      </w:pPr>
      <w:hyperlink r:id="rId52" w:history="1">
        <w:r w:rsidR="00CE7A69">
          <w:rPr>
            <w:rStyle w:val="Hyperlink"/>
            <w:rFonts w:cs="Arial"/>
          </w:rPr>
          <w:t>Australian Government Building and Construction Workplace Health and Safety Accreditation Scheme</w:t>
        </w:r>
      </w:hyperlink>
      <w:r w:rsidR="00CE7A69">
        <w:rPr>
          <w:rFonts w:cs="Arial"/>
        </w:rPr>
        <w:t xml:space="preserve"> &lt;https://ablis.business.gov.au/service/ag/australian-government-building-and-construction-workplace-health-and-safety-accreditation-scheme/301 &gt;</w:t>
      </w:r>
    </w:p>
    <w:p w14:paraId="32259B62" w14:textId="239FA4D2" w:rsidR="00CE7A69" w:rsidRDefault="00CE7A69" w:rsidP="00CE7A69">
      <w:pPr>
        <w:rPr>
          <w:rFonts w:ascii="Arial" w:hAnsi="Arial" w:cs="Arial"/>
          <w:sz w:val="20"/>
          <w:szCs w:val="20"/>
        </w:rPr>
      </w:pPr>
      <w:r>
        <w:rPr>
          <w:rStyle w:val="DHHSbodyChar"/>
          <w:sz w:val="20"/>
          <w:szCs w:val="20"/>
        </w:rPr>
        <w:t xml:space="preserve"> </w:t>
      </w:r>
      <w:hyperlink r:id="rId53" w:history="1">
        <w:r>
          <w:rPr>
            <w:rStyle w:val="Hyperlink"/>
            <w:rFonts w:ascii="Arial" w:eastAsia="Times" w:hAnsi="Arial" w:cs="Arial"/>
            <w:sz w:val="20"/>
            <w:szCs w:val="20"/>
          </w:rPr>
          <w:t>National Construction Code</w:t>
        </w:r>
      </w:hyperlink>
      <w:r>
        <w:rPr>
          <w:rStyle w:val="DHHSbodyChar"/>
          <w:sz w:val="20"/>
          <w:szCs w:val="20"/>
        </w:rPr>
        <w:t xml:space="preserve"> &lt;https://ncc.abcb.gov.au/&gt;</w:t>
      </w:r>
      <w:r w:rsidR="00D8251B">
        <w:rPr>
          <w:rStyle w:val="DHHSbodyChar"/>
          <w:sz w:val="20"/>
          <w:szCs w:val="20"/>
        </w:rPr>
        <w:t xml:space="preserve"> </w:t>
      </w:r>
    </w:p>
    <w:p w14:paraId="365C3FE4" w14:textId="77777777" w:rsidR="00B70F50" w:rsidRDefault="00B70F50">
      <w:pPr>
        <w:spacing w:after="0" w:line="240" w:lineRule="auto"/>
        <w:rPr>
          <w:rFonts w:ascii="Arial" w:eastAsia="MS Gothic" w:hAnsi="Arial" w:cs="Arial"/>
          <w:color w:val="0074BC" w:themeColor="text2"/>
          <w:kern w:val="32"/>
          <w:sz w:val="36"/>
          <w:szCs w:val="40"/>
        </w:rPr>
      </w:pPr>
      <w:r>
        <w:rPr>
          <w:bCs/>
        </w:rPr>
        <w:br w:type="page"/>
      </w:r>
    </w:p>
    <w:p w14:paraId="150E5EF9" w14:textId="24CBB7F0" w:rsidR="00CE7A69" w:rsidRDefault="00CE7A69" w:rsidP="00CE7A69">
      <w:pPr>
        <w:pStyle w:val="Heading1"/>
        <w:rPr>
          <w:bCs w:val="0"/>
        </w:rPr>
      </w:pPr>
      <w:bookmarkStart w:id="48" w:name="_Toc64016590"/>
      <w:r>
        <w:rPr>
          <w:bCs w:val="0"/>
        </w:rPr>
        <w:lastRenderedPageBreak/>
        <w:t xml:space="preserve">Appendix 2: 2020-21 Metropolitan Health Infrastructure Fund – </w:t>
      </w:r>
      <w:r w:rsidR="003E1CC6">
        <w:rPr>
          <w:bCs w:val="0"/>
        </w:rPr>
        <w:t>list of eligible services</w:t>
      </w:r>
      <w:bookmarkEnd w:id="48"/>
    </w:p>
    <w:p w14:paraId="635E35B2" w14:textId="77777777" w:rsidR="00CE7A69" w:rsidRDefault="00CE7A69" w:rsidP="00CE7A69">
      <w:pPr>
        <w:spacing w:after="120" w:line="270" w:lineRule="atLeast"/>
        <w:rPr>
          <w:rFonts w:ascii="Arial" w:eastAsia="Times" w:hAnsi="Arial"/>
          <w:sz w:val="20"/>
          <w:szCs w:val="20"/>
        </w:rPr>
      </w:pPr>
      <w:r>
        <w:rPr>
          <w:rFonts w:ascii="Arial" w:eastAsia="Times" w:hAnsi="Arial"/>
          <w:sz w:val="20"/>
          <w:szCs w:val="20"/>
        </w:rPr>
        <w:t xml:space="preserve">The following public health services and agencies are eligible to apply to the 2020-21 </w:t>
      </w:r>
      <w:r w:rsidRPr="007F0F3F">
        <w:rPr>
          <w:rFonts w:ascii="Arial" w:eastAsia="Times" w:hAnsi="Arial"/>
          <w:sz w:val="20"/>
          <w:szCs w:val="20"/>
        </w:rPr>
        <w:t>Metropolitan Health</w:t>
      </w:r>
      <w:r>
        <w:rPr>
          <w:u w:val="single"/>
        </w:rPr>
        <w:t xml:space="preserve"> </w:t>
      </w:r>
      <w:r>
        <w:rPr>
          <w:rFonts w:ascii="Arial" w:eastAsia="Times" w:hAnsi="Arial"/>
          <w:sz w:val="20"/>
          <w:szCs w:val="20"/>
        </w:rPr>
        <w:t>Infrastructure Fund</w:t>
      </w:r>
      <w:bookmarkStart w:id="49" w:name="_Toc483472740"/>
      <w:r>
        <w:rPr>
          <w:rFonts w:ascii="Arial" w:eastAsia="Times" w:hAnsi="Arial"/>
          <w:sz w:val="20"/>
          <w:szCs w:val="20"/>
        </w:rPr>
        <w:t>.</w:t>
      </w:r>
    </w:p>
    <w:p w14:paraId="303ED331" w14:textId="3BFAFEE0" w:rsidR="00CE7A69" w:rsidRPr="00B70F50" w:rsidRDefault="00CE7A69" w:rsidP="00B70F50">
      <w:pPr>
        <w:pStyle w:val="Heading2"/>
        <w:rPr>
          <w:rStyle w:val="Strong"/>
          <w:rFonts w:eastAsia="MS Gothic"/>
          <w:b/>
          <w:bCs w:val="0"/>
        </w:rPr>
      </w:pPr>
      <w:bookmarkStart w:id="50" w:name="_Toc64016591"/>
      <w:r w:rsidRPr="00B70F50">
        <w:rPr>
          <w:rStyle w:val="Strong"/>
          <w:rFonts w:eastAsia="MS Gothic"/>
          <w:b/>
          <w:bCs w:val="0"/>
        </w:rPr>
        <w:t xml:space="preserve">Metropolitan </w:t>
      </w:r>
      <w:r w:rsidR="003E1CC6" w:rsidRPr="00B70F50">
        <w:rPr>
          <w:rStyle w:val="Strong"/>
          <w:rFonts w:eastAsia="MS Gothic"/>
          <w:b/>
          <w:bCs w:val="0"/>
        </w:rPr>
        <w:t>health services</w:t>
      </w:r>
      <w:bookmarkEnd w:id="50"/>
      <w:r w:rsidR="003E1CC6" w:rsidRPr="00B70F50">
        <w:rPr>
          <w:rStyle w:val="Strong"/>
          <w:rFonts w:eastAsia="MS Gothic"/>
          <w:b/>
          <w:bCs w:val="0"/>
        </w:rPr>
        <w:t xml:space="preserve"> </w:t>
      </w:r>
    </w:p>
    <w:p w14:paraId="7538DD5B" w14:textId="77777777" w:rsidR="00CE7A69" w:rsidRDefault="00CE7A69" w:rsidP="003E1CC6">
      <w:pPr>
        <w:pStyle w:val="VHHSBAbody"/>
      </w:pPr>
      <w:r>
        <w:t>Alfred Health</w:t>
      </w:r>
    </w:p>
    <w:p w14:paraId="2190F51B" w14:textId="77777777" w:rsidR="00CE7A69" w:rsidRDefault="00CE7A69" w:rsidP="003E1CC6">
      <w:pPr>
        <w:pStyle w:val="VHHSBAbody"/>
      </w:pPr>
      <w:r>
        <w:t>Austin Health</w:t>
      </w:r>
    </w:p>
    <w:p w14:paraId="5117C8D3" w14:textId="77777777" w:rsidR="00CE7A69" w:rsidRDefault="00CE7A69" w:rsidP="003E1CC6">
      <w:pPr>
        <w:pStyle w:val="VHHSBAbody"/>
      </w:pPr>
      <w:r>
        <w:t>Calvary Health Care Bethlehem</w:t>
      </w:r>
    </w:p>
    <w:p w14:paraId="18803373" w14:textId="77777777" w:rsidR="00CE7A69" w:rsidRDefault="00CE7A69" w:rsidP="003E1CC6">
      <w:pPr>
        <w:pStyle w:val="VHHSBAbody"/>
      </w:pPr>
      <w:r>
        <w:t>Dental Health Services Victoria</w:t>
      </w:r>
    </w:p>
    <w:p w14:paraId="094292BB" w14:textId="77777777" w:rsidR="00CE7A69" w:rsidRDefault="00CE7A69" w:rsidP="003E1CC6">
      <w:pPr>
        <w:pStyle w:val="VHHSBAbody"/>
      </w:pPr>
      <w:r>
        <w:t>Djerriwarrh Health Services</w:t>
      </w:r>
    </w:p>
    <w:p w14:paraId="5A03BC24" w14:textId="77777777" w:rsidR="00CE7A69" w:rsidRDefault="00CE7A69" w:rsidP="003E1CC6">
      <w:pPr>
        <w:pStyle w:val="VHHSBAbody"/>
      </w:pPr>
      <w:r>
        <w:t>Eastern Health</w:t>
      </w:r>
    </w:p>
    <w:p w14:paraId="5C55915C" w14:textId="77777777" w:rsidR="00CE7A69" w:rsidRDefault="00CE7A69" w:rsidP="003E1CC6">
      <w:pPr>
        <w:pStyle w:val="VHHSBAbody"/>
      </w:pPr>
      <w:r>
        <w:t>Forensicare</w:t>
      </w:r>
    </w:p>
    <w:p w14:paraId="59B65FEB" w14:textId="77777777" w:rsidR="00CE7A69" w:rsidRDefault="00CE7A69" w:rsidP="003E1CC6">
      <w:pPr>
        <w:pStyle w:val="VHHSBAbody"/>
      </w:pPr>
      <w:r>
        <w:t>Melbourne Health</w:t>
      </w:r>
    </w:p>
    <w:p w14:paraId="448AB0FC" w14:textId="77777777" w:rsidR="00CE7A69" w:rsidRDefault="00CE7A69" w:rsidP="003E1CC6">
      <w:pPr>
        <w:pStyle w:val="VHHSBAbody"/>
      </w:pPr>
      <w:r>
        <w:t>Mercy Hospitals Victoria</w:t>
      </w:r>
    </w:p>
    <w:p w14:paraId="17B47BA1" w14:textId="77777777" w:rsidR="00CE7A69" w:rsidRDefault="00CE7A69" w:rsidP="003E1CC6">
      <w:pPr>
        <w:pStyle w:val="VHHSBAbody"/>
      </w:pPr>
      <w:r>
        <w:t>Monash Health</w:t>
      </w:r>
    </w:p>
    <w:p w14:paraId="01F79F4B" w14:textId="77777777" w:rsidR="00CE7A69" w:rsidRDefault="00CE7A69" w:rsidP="003E1CC6">
      <w:pPr>
        <w:pStyle w:val="VHHSBAbody"/>
      </w:pPr>
      <w:r>
        <w:t>Northern Health</w:t>
      </w:r>
    </w:p>
    <w:p w14:paraId="13A69E85" w14:textId="77777777" w:rsidR="00CE7A69" w:rsidRDefault="00CE7A69" w:rsidP="003E1CC6">
      <w:pPr>
        <w:pStyle w:val="VHHSBAbody"/>
      </w:pPr>
      <w:r>
        <w:t>Peninsula Health</w:t>
      </w:r>
    </w:p>
    <w:p w14:paraId="7A1C167A" w14:textId="77777777" w:rsidR="00CE7A69" w:rsidRDefault="00CE7A69" w:rsidP="003E1CC6">
      <w:pPr>
        <w:pStyle w:val="VHHSBAbody"/>
      </w:pPr>
      <w:r>
        <w:t>Peter MacCallum Cancer Institute</w:t>
      </w:r>
    </w:p>
    <w:p w14:paraId="22974613" w14:textId="5611E457" w:rsidR="00CE7A69" w:rsidRDefault="00D8251B" w:rsidP="003E1CC6">
      <w:pPr>
        <w:pStyle w:val="VHHSBAbody"/>
      </w:pPr>
      <w:r>
        <w:t xml:space="preserve">The </w:t>
      </w:r>
      <w:r w:rsidR="00CE7A69">
        <w:t>Royal Children’s Hospital</w:t>
      </w:r>
    </w:p>
    <w:p w14:paraId="20681534" w14:textId="77777777" w:rsidR="00CE7A69" w:rsidRDefault="00CE7A69" w:rsidP="003E1CC6">
      <w:pPr>
        <w:pStyle w:val="VHHSBAbody"/>
      </w:pPr>
      <w:r>
        <w:t>The Royal Women’s Hospital</w:t>
      </w:r>
    </w:p>
    <w:p w14:paraId="54023E9C" w14:textId="77777777" w:rsidR="00CE7A69" w:rsidRDefault="00CE7A69" w:rsidP="003E1CC6">
      <w:pPr>
        <w:pStyle w:val="VHHSBAbody"/>
      </w:pPr>
      <w:r>
        <w:t>The Royal Victorian Eye and Ear Hospital</w:t>
      </w:r>
    </w:p>
    <w:p w14:paraId="7528D4E3" w14:textId="77777777" w:rsidR="00CE7A69" w:rsidRDefault="00CE7A69" w:rsidP="003E1CC6">
      <w:pPr>
        <w:pStyle w:val="VHHSBAbody"/>
      </w:pPr>
      <w:r>
        <w:t>St Vincent’s Hospital Melbourne</w:t>
      </w:r>
    </w:p>
    <w:p w14:paraId="3A7C1016" w14:textId="77777777" w:rsidR="00CE7A69" w:rsidRDefault="00CE7A69" w:rsidP="003E1CC6">
      <w:pPr>
        <w:pStyle w:val="VHHSBAbody"/>
      </w:pPr>
      <w:r>
        <w:t>Western Health</w:t>
      </w:r>
    </w:p>
    <w:p w14:paraId="4481ED24" w14:textId="77777777" w:rsidR="00CE7A69" w:rsidRPr="00B70F50" w:rsidRDefault="00CE7A69" w:rsidP="00B70F50">
      <w:pPr>
        <w:pStyle w:val="Heading2"/>
        <w:rPr>
          <w:rFonts w:eastAsia="MS Gothic"/>
        </w:rPr>
      </w:pPr>
      <w:bookmarkStart w:id="51" w:name="_Toc64016592"/>
      <w:r w:rsidRPr="00B70F50">
        <w:rPr>
          <w:rFonts w:eastAsia="MS Gothic"/>
        </w:rPr>
        <w:t>Metropolitan Aboriginal Community Controlled Health Organisations</w:t>
      </w:r>
      <w:bookmarkEnd w:id="51"/>
    </w:p>
    <w:p w14:paraId="47734D0D" w14:textId="77777777" w:rsidR="00CE7A69" w:rsidRDefault="00CE7A69" w:rsidP="00CE7A69">
      <w:pPr>
        <w:pStyle w:val="DHHSbody"/>
      </w:pPr>
      <w:r>
        <w:t>Aboriginal Community Elders Services</w:t>
      </w:r>
    </w:p>
    <w:p w14:paraId="2D5FD6CC" w14:textId="77777777" w:rsidR="00CE7A69" w:rsidRDefault="00CE7A69" w:rsidP="00CE7A69">
      <w:pPr>
        <w:pStyle w:val="DHHSbody"/>
      </w:pPr>
      <w:r>
        <w:t>Boorndawan Willam Healing Service</w:t>
      </w:r>
    </w:p>
    <w:p w14:paraId="50C0193D" w14:textId="77777777" w:rsidR="00CE7A69" w:rsidRDefault="00CE7A69" w:rsidP="00CE7A69">
      <w:pPr>
        <w:pStyle w:val="DHHSbody"/>
      </w:pPr>
      <w:r>
        <w:t>Dandenong and District Aborigines Co-Operative Ltd</w:t>
      </w:r>
    </w:p>
    <w:p w14:paraId="74951DC9" w14:textId="77777777" w:rsidR="00CE7A69" w:rsidRDefault="00CE7A69" w:rsidP="00CE7A69">
      <w:pPr>
        <w:pStyle w:val="DHHSbody"/>
      </w:pPr>
      <w:r>
        <w:t xml:space="preserve">First People's Health and Wellbeing </w:t>
      </w:r>
    </w:p>
    <w:p w14:paraId="17A4A60D" w14:textId="77777777" w:rsidR="00CE7A69" w:rsidRDefault="00CE7A69" w:rsidP="00CE7A69">
      <w:pPr>
        <w:pStyle w:val="DHHSbody"/>
      </w:pPr>
      <w:r>
        <w:t>Oonah Belonging Place</w:t>
      </w:r>
    </w:p>
    <w:p w14:paraId="22830848" w14:textId="77777777" w:rsidR="00CE7A69" w:rsidRDefault="00CE7A69" w:rsidP="00CE7A69">
      <w:pPr>
        <w:pStyle w:val="DHHSbody"/>
      </w:pPr>
      <w:r>
        <w:t>Victorian Aboriginal Health Service</w:t>
      </w:r>
    </w:p>
    <w:p w14:paraId="17E1778B" w14:textId="77777777" w:rsidR="00CE7A69" w:rsidRDefault="00CE7A69" w:rsidP="00CE7A69">
      <w:pPr>
        <w:pStyle w:val="Heading2"/>
        <w:rPr>
          <w:rFonts w:eastAsia="MS Gothic"/>
        </w:rPr>
      </w:pPr>
      <w:bookmarkStart w:id="52" w:name="_Toc64016593"/>
      <w:r>
        <w:rPr>
          <w:rFonts w:eastAsia="MS Gothic"/>
        </w:rPr>
        <w:t>Registered community health services</w:t>
      </w:r>
      <w:bookmarkEnd w:id="52"/>
      <w:r>
        <w:rPr>
          <w:rFonts w:eastAsia="MS Gothic"/>
        </w:rPr>
        <w:t xml:space="preserve">  </w:t>
      </w:r>
    </w:p>
    <w:p w14:paraId="3FB3CA9D" w14:textId="77777777" w:rsidR="00CE7A69" w:rsidRDefault="00CE7A69" w:rsidP="00CE7A69">
      <w:pPr>
        <w:pStyle w:val="DHHSbody"/>
      </w:pPr>
      <w:r>
        <w:t>Access Health and Community</w:t>
      </w:r>
    </w:p>
    <w:p w14:paraId="6F70CEEF" w14:textId="77777777" w:rsidR="00CE7A69" w:rsidRDefault="00CE7A69" w:rsidP="00CE7A69">
      <w:pPr>
        <w:pStyle w:val="DHHSbody"/>
      </w:pPr>
      <w:r>
        <w:t>Banyule Community Health</w:t>
      </w:r>
    </w:p>
    <w:p w14:paraId="55BFA839" w14:textId="77777777" w:rsidR="00CE7A69" w:rsidRDefault="00CE7A69" w:rsidP="00CE7A69">
      <w:pPr>
        <w:pStyle w:val="DHHSbody"/>
      </w:pPr>
      <w:r>
        <w:t>Carrington Health Ability</w:t>
      </w:r>
    </w:p>
    <w:p w14:paraId="34A58739" w14:textId="77777777" w:rsidR="00CE7A69" w:rsidRDefault="00CE7A69" w:rsidP="00CE7A69">
      <w:pPr>
        <w:pStyle w:val="DHHSbody"/>
      </w:pPr>
      <w:r>
        <w:t>Central Bayside Community Health Services Limited</w:t>
      </w:r>
    </w:p>
    <w:p w14:paraId="4D415A7E" w14:textId="77777777" w:rsidR="00CE7A69" w:rsidRDefault="00CE7A69" w:rsidP="00CE7A69">
      <w:pPr>
        <w:pStyle w:val="DHHSbody"/>
      </w:pPr>
      <w:r>
        <w:lastRenderedPageBreak/>
        <w:t>Cobaw Community Health Services (Metro sites only)</w:t>
      </w:r>
    </w:p>
    <w:p w14:paraId="5F3963DF" w14:textId="77777777" w:rsidR="00CE7A69" w:rsidRDefault="00CE7A69" w:rsidP="00CE7A69">
      <w:pPr>
        <w:pStyle w:val="DHHSbody"/>
      </w:pPr>
      <w:r>
        <w:t>Cohealth</w:t>
      </w:r>
    </w:p>
    <w:p w14:paraId="37B94285" w14:textId="77777777" w:rsidR="00CE7A69" w:rsidRDefault="00CE7A69" w:rsidP="00CE7A69">
      <w:pPr>
        <w:pStyle w:val="DHHSbody"/>
      </w:pPr>
      <w:r>
        <w:t>Connect Health &amp; Community</w:t>
      </w:r>
    </w:p>
    <w:p w14:paraId="5939C05B" w14:textId="77777777" w:rsidR="00CE7A69" w:rsidRDefault="00CE7A69" w:rsidP="00CE7A69">
      <w:pPr>
        <w:pStyle w:val="DHHSbody"/>
      </w:pPr>
      <w:r>
        <w:t>DPV Health</w:t>
      </w:r>
    </w:p>
    <w:p w14:paraId="17954D4F" w14:textId="77777777" w:rsidR="00CE7A69" w:rsidRDefault="00CE7A69" w:rsidP="00CE7A69">
      <w:pPr>
        <w:pStyle w:val="DHHSbody"/>
      </w:pPr>
      <w:r>
        <w:t>EACH</w:t>
      </w:r>
    </w:p>
    <w:p w14:paraId="55C398E7" w14:textId="77777777" w:rsidR="00CE7A69" w:rsidRDefault="00CE7A69" w:rsidP="00CE7A69">
      <w:pPr>
        <w:pStyle w:val="DHHSbody"/>
      </w:pPr>
      <w:r>
        <w:t>Inspiro</w:t>
      </w:r>
    </w:p>
    <w:p w14:paraId="4BCDC184" w14:textId="77777777" w:rsidR="00CE7A69" w:rsidRDefault="00CE7A69" w:rsidP="00CE7A69">
      <w:pPr>
        <w:pStyle w:val="DHHSbody"/>
      </w:pPr>
      <w:r>
        <w:t>IPC Health</w:t>
      </w:r>
    </w:p>
    <w:p w14:paraId="2F85B880" w14:textId="77777777" w:rsidR="00CE7A69" w:rsidRDefault="00CE7A69" w:rsidP="00CE7A69">
      <w:pPr>
        <w:pStyle w:val="DHHSbody"/>
      </w:pPr>
      <w:r>
        <w:t>Latrobe Community Health Service (Metro sites only)</w:t>
      </w:r>
    </w:p>
    <w:p w14:paraId="3803CE48" w14:textId="77777777" w:rsidR="00CE7A69" w:rsidRDefault="00CE7A69" w:rsidP="00CE7A69">
      <w:pPr>
        <w:pStyle w:val="DHHSbody"/>
      </w:pPr>
      <w:r>
        <w:t>Merri Health</w:t>
      </w:r>
    </w:p>
    <w:p w14:paraId="050D7A73" w14:textId="77777777" w:rsidR="00CE7A69" w:rsidRDefault="00CE7A69" w:rsidP="00CE7A69">
      <w:pPr>
        <w:pStyle w:val="DHHSbody"/>
      </w:pPr>
      <w:r>
        <w:t>North Richmond Community Health Limited</w:t>
      </w:r>
    </w:p>
    <w:p w14:paraId="711F3C88" w14:textId="77777777" w:rsidR="00CE7A69" w:rsidRDefault="00CE7A69" w:rsidP="00CE7A69">
      <w:pPr>
        <w:pStyle w:val="DHHSbody"/>
      </w:pPr>
      <w:r>
        <w:t>Primary Care Connect</w:t>
      </w:r>
    </w:p>
    <w:p w14:paraId="5662146E" w14:textId="77777777" w:rsidR="00CE7A69" w:rsidRDefault="00CE7A69" w:rsidP="00CE7A69">
      <w:pPr>
        <w:pStyle w:val="DHHSbody"/>
      </w:pPr>
      <w:r>
        <w:t>Star Health</w:t>
      </w:r>
    </w:p>
    <w:p w14:paraId="0BB6B6E0" w14:textId="77777777" w:rsidR="00CE7A69" w:rsidRDefault="00CE7A69" w:rsidP="00CE7A69">
      <w:pPr>
        <w:pStyle w:val="DHHSbody"/>
      </w:pPr>
      <w:r>
        <w:t>Sunbury Community Health Centre</w:t>
      </w:r>
    </w:p>
    <w:p w14:paraId="7B926CF6" w14:textId="77777777" w:rsidR="00CE7A69" w:rsidRDefault="00CE7A69" w:rsidP="00CE7A69">
      <w:pPr>
        <w:pStyle w:val="DHHSbody"/>
      </w:pPr>
      <w:r>
        <w:t>Your Community Health</w:t>
      </w:r>
    </w:p>
    <w:p w14:paraId="3B6B2569" w14:textId="6ED619C1" w:rsidR="00CE7A69" w:rsidRDefault="00CE7A69" w:rsidP="00CE7A69">
      <w:pPr>
        <w:pStyle w:val="Heading2"/>
        <w:rPr>
          <w:rFonts w:eastAsia="MS Gothic"/>
        </w:rPr>
      </w:pPr>
      <w:bookmarkStart w:id="53" w:name="_Toc64016594"/>
      <w:r>
        <w:rPr>
          <w:rFonts w:eastAsia="MS Gothic"/>
        </w:rPr>
        <w:t xml:space="preserve">Youth </w:t>
      </w:r>
      <w:r w:rsidR="007D66EF">
        <w:rPr>
          <w:rFonts w:eastAsia="MS Gothic"/>
        </w:rPr>
        <w:t>residential rehabilitation</w:t>
      </w:r>
      <w:bookmarkEnd w:id="53"/>
    </w:p>
    <w:p w14:paraId="1886F35B" w14:textId="77777777" w:rsidR="00CE7A69" w:rsidRDefault="00CE7A69" w:rsidP="00CE7A69">
      <w:pPr>
        <w:pStyle w:val="DHHSbody"/>
      </w:pPr>
      <w:r>
        <w:t>ACSO</w:t>
      </w:r>
    </w:p>
    <w:p w14:paraId="0C32A51B" w14:textId="77777777" w:rsidR="00CE7A69" w:rsidRDefault="00CE7A69" w:rsidP="00CE7A69">
      <w:pPr>
        <w:pStyle w:val="DHHSbody"/>
      </w:pPr>
      <w:r>
        <w:t>Cohealth</w:t>
      </w:r>
    </w:p>
    <w:p w14:paraId="0DF4B562" w14:textId="77777777" w:rsidR="00CE7A69" w:rsidRDefault="00CE7A69" w:rsidP="00CE7A69">
      <w:pPr>
        <w:pStyle w:val="DHHSbody"/>
      </w:pPr>
      <w:r>
        <w:t>EACH</w:t>
      </w:r>
    </w:p>
    <w:p w14:paraId="7FDF2965" w14:textId="77777777" w:rsidR="00CE7A69" w:rsidRDefault="00CE7A69" w:rsidP="00CE7A69">
      <w:pPr>
        <w:pStyle w:val="DHHSbody"/>
      </w:pPr>
      <w:r>
        <w:t>MIND Australia</w:t>
      </w:r>
    </w:p>
    <w:p w14:paraId="2F43FBC2" w14:textId="77777777" w:rsidR="00CE7A69" w:rsidRDefault="00CE7A69" w:rsidP="00CE7A69">
      <w:pPr>
        <w:pStyle w:val="DHHSbody"/>
      </w:pPr>
      <w:r>
        <w:t>Neami National</w:t>
      </w:r>
    </w:p>
    <w:p w14:paraId="5E1E02E3" w14:textId="77777777" w:rsidR="00CE7A69" w:rsidRDefault="00CE7A69" w:rsidP="00CE7A69">
      <w:pPr>
        <w:pStyle w:val="DHHSbody"/>
      </w:pPr>
      <w:r>
        <w:t>Wellways Australia</w:t>
      </w:r>
    </w:p>
    <w:p w14:paraId="4061AE42" w14:textId="77777777" w:rsidR="00CE7A69" w:rsidRDefault="00CE7A69" w:rsidP="00CE7A69">
      <w:pPr>
        <w:pStyle w:val="DHHSbody"/>
      </w:pPr>
      <w:r>
        <w:t>Uniting Care</w:t>
      </w:r>
    </w:p>
    <w:p w14:paraId="7E66F41D" w14:textId="5E93B465" w:rsidR="00CE7A69" w:rsidRDefault="00CE7A69" w:rsidP="00CE7A69">
      <w:pPr>
        <w:pStyle w:val="Heading2"/>
        <w:rPr>
          <w:rFonts w:eastAsia="MS Gothic"/>
        </w:rPr>
      </w:pPr>
      <w:bookmarkStart w:id="54" w:name="_Toc64016595"/>
      <w:r>
        <w:rPr>
          <w:rFonts w:eastAsia="MS Gothic"/>
        </w:rPr>
        <w:t xml:space="preserve">Adult </w:t>
      </w:r>
      <w:r w:rsidR="007D66EF">
        <w:rPr>
          <w:rFonts w:eastAsia="MS Gothic"/>
        </w:rPr>
        <w:t>residential rehabilitation</w:t>
      </w:r>
      <w:bookmarkEnd w:id="54"/>
    </w:p>
    <w:p w14:paraId="4EAFEA14" w14:textId="77777777" w:rsidR="00CE7A69" w:rsidRDefault="00CE7A69" w:rsidP="00CE7A69">
      <w:pPr>
        <w:pStyle w:val="DHHSbody"/>
      </w:pPr>
      <w:r>
        <w:t>MIND Australia</w:t>
      </w:r>
    </w:p>
    <w:p w14:paraId="4DB3F0AF" w14:textId="1260E71F" w:rsidR="00CE7A69" w:rsidRDefault="00CE7A69" w:rsidP="00CE7A69">
      <w:pPr>
        <w:pStyle w:val="Heading2"/>
        <w:rPr>
          <w:rFonts w:eastAsia="MS Gothic"/>
        </w:rPr>
      </w:pPr>
      <w:bookmarkStart w:id="55" w:name="_Toc64016596"/>
      <w:bookmarkEnd w:id="49"/>
      <w:r>
        <w:rPr>
          <w:rFonts w:eastAsia="MS Gothic"/>
        </w:rPr>
        <w:t xml:space="preserve">Metropolitan </w:t>
      </w:r>
      <w:r w:rsidR="007D66EF">
        <w:rPr>
          <w:rFonts w:eastAsia="MS Gothic"/>
        </w:rPr>
        <w:t xml:space="preserve">community palliative care </w:t>
      </w:r>
      <w:r>
        <w:rPr>
          <w:rFonts w:eastAsia="MS Gothic"/>
        </w:rPr>
        <w:t>– NGO</w:t>
      </w:r>
      <w:bookmarkEnd w:id="55"/>
      <w:r>
        <w:rPr>
          <w:rFonts w:eastAsia="MS Gothic"/>
        </w:rPr>
        <w:t xml:space="preserve"> </w:t>
      </w:r>
    </w:p>
    <w:p w14:paraId="0B25473D" w14:textId="77777777" w:rsidR="00CE7A69" w:rsidRDefault="00CE7A69" w:rsidP="00CE7A69">
      <w:pPr>
        <w:pStyle w:val="DHHSbody"/>
      </w:pPr>
      <w:r>
        <w:t>Banksia Palliative Care Services</w:t>
      </w:r>
    </w:p>
    <w:p w14:paraId="302AA496" w14:textId="77777777" w:rsidR="00CE7A69" w:rsidRDefault="00CE7A69" w:rsidP="00CE7A69">
      <w:pPr>
        <w:pStyle w:val="DHHSbody"/>
      </w:pPr>
      <w:r>
        <w:t>Eastern Palliative Care Association</w:t>
      </w:r>
    </w:p>
    <w:p w14:paraId="6EF8D586" w14:textId="77777777" w:rsidR="00CE7A69" w:rsidRDefault="00CE7A69" w:rsidP="00CE7A69">
      <w:pPr>
        <w:pStyle w:val="DHHSbody"/>
      </w:pPr>
      <w:r>
        <w:t>Melbourne City Mission</w:t>
      </w:r>
    </w:p>
    <w:p w14:paraId="5B245703" w14:textId="77777777" w:rsidR="00CE7A69" w:rsidRDefault="00CE7A69" w:rsidP="00CE7A69">
      <w:pPr>
        <w:pStyle w:val="DHHSbody"/>
      </w:pPr>
      <w:r>
        <w:t>Mercy Health</w:t>
      </w:r>
    </w:p>
    <w:p w14:paraId="1C2AE622" w14:textId="77777777" w:rsidR="00CE7A69" w:rsidRDefault="00CE7A69" w:rsidP="00CE7A69">
      <w:pPr>
        <w:pStyle w:val="DHHSbody"/>
      </w:pPr>
      <w:r>
        <w:t>Palliative Care South East</w:t>
      </w:r>
    </w:p>
    <w:p w14:paraId="34CB6A3D" w14:textId="77777777" w:rsidR="00CE7A69" w:rsidRDefault="00CE7A69" w:rsidP="00CE7A69">
      <w:pPr>
        <w:pStyle w:val="DHHSbody"/>
      </w:pPr>
      <w:r>
        <w:t>Peninsula Home Hospice</w:t>
      </w:r>
    </w:p>
    <w:p w14:paraId="7AB76F5D" w14:textId="03579BC4" w:rsidR="00CE7A69" w:rsidRDefault="00CE7A69" w:rsidP="00CE7A69">
      <w:pPr>
        <w:pStyle w:val="Heading2"/>
        <w:rPr>
          <w:rFonts w:eastAsia="MS Gothic"/>
        </w:rPr>
      </w:pPr>
      <w:bookmarkStart w:id="56" w:name="_Toc64016597"/>
      <w:r>
        <w:rPr>
          <w:rFonts w:eastAsia="MS Gothic"/>
        </w:rPr>
        <w:t xml:space="preserve">Metropolitan </w:t>
      </w:r>
      <w:r w:rsidR="007D66EF">
        <w:rPr>
          <w:rFonts w:eastAsia="MS Gothic"/>
        </w:rPr>
        <w:t>community palliative care - health service</w:t>
      </w:r>
      <w:bookmarkEnd w:id="56"/>
    </w:p>
    <w:p w14:paraId="6A382E61" w14:textId="77777777" w:rsidR="00CE7A69" w:rsidRDefault="00CE7A69" w:rsidP="00D8251B">
      <w:pPr>
        <w:pStyle w:val="VHHSBAbody"/>
        <w:rPr>
          <w:lang w:eastAsia="en-AU"/>
        </w:rPr>
      </w:pPr>
      <w:r>
        <w:rPr>
          <w:lang w:eastAsia="en-AU"/>
        </w:rPr>
        <w:t>Calvary Health Care, Bethlehem</w:t>
      </w:r>
    </w:p>
    <w:p w14:paraId="08583926" w14:textId="77777777" w:rsidR="00CE7A69" w:rsidRDefault="00CE7A69" w:rsidP="00CE7A69">
      <w:pPr>
        <w:pStyle w:val="DHHSbody"/>
      </w:pPr>
    </w:p>
    <w:tbl>
      <w:tblPr>
        <w:tblW w:w="4895" w:type="pct"/>
        <w:tblInd w:w="113" w:type="dxa"/>
        <w:tblCellMar>
          <w:top w:w="113" w:type="dxa"/>
          <w:bottom w:w="57" w:type="dxa"/>
        </w:tblCellMar>
        <w:tblLook w:val="00A0" w:firstRow="1" w:lastRow="0" w:firstColumn="1" w:lastColumn="0" w:noHBand="0" w:noVBand="0"/>
      </w:tblPr>
      <w:tblGrid>
        <w:gridCol w:w="10201"/>
      </w:tblGrid>
      <w:tr w:rsidR="00CE7A69" w14:paraId="73E5B88D" w14:textId="77777777" w:rsidTr="00CE7A69">
        <w:trPr>
          <w:cantSplit/>
        </w:trPr>
        <w:tc>
          <w:tcPr>
            <w:tcW w:w="5000" w:type="pct"/>
            <w:tcBorders>
              <w:top w:val="single" w:sz="4" w:space="0" w:color="auto"/>
              <w:left w:val="single" w:sz="4" w:space="0" w:color="auto"/>
              <w:bottom w:val="single" w:sz="4" w:space="0" w:color="auto"/>
              <w:right w:val="single" w:sz="4" w:space="0" w:color="auto"/>
            </w:tcBorders>
            <w:vAlign w:val="bottom"/>
            <w:hideMark/>
          </w:tcPr>
          <w:p w14:paraId="3B952E96" w14:textId="683A75CD" w:rsidR="00CE7A69" w:rsidRDefault="00CE7A69">
            <w:pPr>
              <w:pStyle w:val="DHHSaccessibilitypara"/>
            </w:pPr>
            <w:r>
              <w:lastRenderedPageBreak/>
              <w:t>To receive this publication in an accessible format</w:t>
            </w:r>
            <w:r w:rsidR="007D66EF">
              <w:t>,</w:t>
            </w:r>
            <w:r>
              <w:t xml:space="preserve"> email </w:t>
            </w:r>
            <w:hyperlink r:id="rId54" w:history="1">
              <w:r>
                <w:rPr>
                  <w:rStyle w:val="Hyperlink"/>
                </w:rPr>
                <w:t>Metropolitan Health Infrastructure Fund</w:t>
              </w:r>
            </w:hyperlink>
            <w:r>
              <w:rPr>
                <w:b/>
                <w:bCs/>
                <w:sz w:val="20"/>
                <w:szCs w:val="20"/>
              </w:rPr>
              <w:t xml:space="preserve"> </w:t>
            </w:r>
            <w:r w:rsidR="00D8251B">
              <w:rPr>
                <w:b/>
                <w:bCs/>
                <w:sz w:val="20"/>
                <w:szCs w:val="20"/>
              </w:rPr>
              <w:t>&lt;</w:t>
            </w:r>
            <w:r w:rsidRPr="00D8251B">
              <w:t>mhif@dhhs.vic.gov.au</w:t>
            </w:r>
            <w:r w:rsidR="00D8251B">
              <w:t xml:space="preserve">&gt; </w:t>
            </w:r>
          </w:p>
          <w:p w14:paraId="65290AC7" w14:textId="77777777" w:rsidR="00CE7A69" w:rsidRDefault="00CE7A69">
            <w:pPr>
              <w:pStyle w:val="DHHSbody"/>
            </w:pPr>
            <w:r>
              <w:t>Authorised and published by the Victorian Government, 1 Treasury Place, Melbourne.</w:t>
            </w:r>
          </w:p>
          <w:p w14:paraId="728F6FC6" w14:textId="77777777" w:rsidR="00CE7A69" w:rsidRDefault="00CE7A69">
            <w:pPr>
              <w:pStyle w:val="DHHSbody"/>
            </w:pPr>
            <w:r>
              <w:t>© State of Victoria, Australia, Victorian Health and Human Services Building Authority</w:t>
            </w:r>
            <w:r>
              <w:rPr>
                <w:color w:val="008950"/>
              </w:rPr>
              <w:t xml:space="preserve"> </w:t>
            </w:r>
            <w:r>
              <w:t>January 2021.</w:t>
            </w:r>
          </w:p>
          <w:p w14:paraId="03BFE5F6" w14:textId="69B57E32" w:rsidR="00CE7A69" w:rsidRDefault="00CE7A69">
            <w:pPr>
              <w:pStyle w:val="DHHSbody"/>
              <w:rPr>
                <w:color w:val="000000"/>
                <w:szCs w:val="19"/>
              </w:rPr>
            </w:pPr>
            <w:r>
              <w:rPr>
                <w:szCs w:val="19"/>
              </w:rPr>
              <w:t xml:space="preserve">Available at </w:t>
            </w:r>
            <w:hyperlink r:id="rId55" w:history="1">
              <w:r>
                <w:rPr>
                  <w:rStyle w:val="Hyperlink"/>
                  <w:rFonts w:cs="Arial"/>
                </w:rPr>
                <w:t>Metropolitan Health Infrastructure Fund</w:t>
              </w:r>
            </w:hyperlink>
            <w:r>
              <w:rPr>
                <w:rFonts w:cs="Arial"/>
              </w:rPr>
              <w:t xml:space="preserve"> </w:t>
            </w:r>
            <w:r>
              <w:t>&lt;</w:t>
            </w:r>
            <w:r w:rsidRPr="00D8251B">
              <w:t>https://www.vhhsba.vic.gov.au/health/hospitals/metropolitan-health-infrastructure-fund</w:t>
            </w:r>
            <w:r>
              <w:t>&gt;</w:t>
            </w:r>
            <w:r w:rsidR="00D8251B">
              <w:t xml:space="preserve"> </w:t>
            </w:r>
          </w:p>
        </w:tc>
      </w:tr>
    </w:tbl>
    <w:p w14:paraId="4EE5DD2D" w14:textId="77777777" w:rsidR="00CE7A69" w:rsidRDefault="00CE7A69" w:rsidP="00CE7A69">
      <w:pPr>
        <w:pStyle w:val="DHHSbody"/>
        <w:rPr>
          <w:b/>
          <w:bCs/>
        </w:rPr>
      </w:pPr>
    </w:p>
    <w:sectPr w:rsidR="00CE7A69" w:rsidSect="004013C7">
      <w:headerReference w:type="default" r:id="rId56"/>
      <w:footerReference w:type="default" r:id="rId5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2BD74" w14:textId="77777777" w:rsidR="007F0F3F" w:rsidRDefault="007F0F3F">
      <w:r>
        <w:separator/>
      </w:r>
    </w:p>
  </w:endnote>
  <w:endnote w:type="continuationSeparator" w:id="0">
    <w:p w14:paraId="67B40F26" w14:textId="77777777" w:rsidR="007F0F3F" w:rsidRDefault="007F0F3F">
      <w:r>
        <w:continuationSeparator/>
      </w:r>
    </w:p>
  </w:endnote>
  <w:endnote w:type="continuationNotice" w:id="1">
    <w:p w14:paraId="206D9FCB" w14:textId="77777777" w:rsidR="00C03291" w:rsidRDefault="00C03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A790" w14:textId="77777777" w:rsidR="007F0F3F" w:rsidRDefault="007F0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14729" w14:textId="77777777" w:rsidR="007F0F3F" w:rsidRPr="00F65AA9" w:rsidRDefault="007F0F3F" w:rsidP="0051568D">
    <w:pPr>
      <w:pStyle w:val="DHHSfooter"/>
    </w:pPr>
    <w:r>
      <w:rPr>
        <w:noProof/>
        <w:lang w:eastAsia="en-AU"/>
      </w:rPr>
      <w:drawing>
        <wp:anchor distT="0" distB="0" distL="114300" distR="114300" simplePos="0" relativeHeight="251658240" behindDoc="0" locked="1" layoutInCell="0" allowOverlap="1" wp14:anchorId="08A61509" wp14:editId="6681AA26">
          <wp:simplePos x="0" y="0"/>
          <wp:positionH relativeFrom="page">
            <wp:posOffset>0</wp:posOffset>
          </wp:positionH>
          <wp:positionV relativeFrom="page">
            <wp:posOffset>9721215</wp:posOffset>
          </wp:positionV>
          <wp:extent cx="7560000" cy="972360"/>
          <wp:effectExtent l="0" t="0" r="3175" b="0"/>
          <wp:wrapNone/>
          <wp:docPr id="14" name="Picture 14" descr="Victoria State Government - Victorian Health and Human Services Build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72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3EFA" w14:textId="77777777" w:rsidR="007F0F3F" w:rsidRDefault="007F0F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50E7" w14:textId="7BFE9AD8" w:rsidR="007F0F3F" w:rsidRPr="00A11421" w:rsidRDefault="007F0F3F" w:rsidP="0051568D">
    <w:pPr>
      <w:pStyle w:val="DHHSfooter"/>
    </w:pPr>
    <w:r>
      <w:t>2020-21 Metropolitan Health Infrastructure Fund - Guidelines</w:t>
    </w:r>
    <w:r w:rsidRPr="00A11421">
      <w:tab/>
    </w:r>
    <w:r w:rsidRPr="00A11421">
      <w:fldChar w:fldCharType="begin"/>
    </w:r>
    <w:r w:rsidRPr="00A11421">
      <w:instrText xml:space="preserve"> PAGE </w:instrText>
    </w:r>
    <w:r w:rsidRPr="00A11421">
      <w:fldChar w:fldCharType="separate"/>
    </w:r>
    <w:r>
      <w:rPr>
        <w:noProof/>
      </w:rPr>
      <w:t>4</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AE59C" w14:textId="77777777" w:rsidR="007F0F3F" w:rsidRDefault="007F0F3F" w:rsidP="002862F1">
      <w:pPr>
        <w:spacing w:before="120"/>
      </w:pPr>
      <w:r>
        <w:separator/>
      </w:r>
    </w:p>
  </w:footnote>
  <w:footnote w:type="continuationSeparator" w:id="0">
    <w:p w14:paraId="70DA47EA" w14:textId="77777777" w:rsidR="007F0F3F" w:rsidRDefault="007F0F3F">
      <w:r>
        <w:continuationSeparator/>
      </w:r>
    </w:p>
  </w:footnote>
  <w:footnote w:type="continuationNotice" w:id="1">
    <w:p w14:paraId="28C54534" w14:textId="77777777" w:rsidR="00C03291" w:rsidRDefault="00C032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ACC1A" w14:textId="77777777" w:rsidR="007F0F3F" w:rsidRDefault="007F0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140A" w14:textId="77777777" w:rsidR="007F0F3F" w:rsidRDefault="007F0F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8D3B8" w14:textId="77777777" w:rsidR="007F0F3F" w:rsidRDefault="007F0F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FA57" w14:textId="77777777" w:rsidR="007F0F3F" w:rsidRPr="0051568D" w:rsidRDefault="007F0F3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A4574DF"/>
    <w:multiLevelType w:val="hybridMultilevel"/>
    <w:tmpl w:val="11BEF878"/>
    <w:lvl w:ilvl="0" w:tplc="722C91BC">
      <w:start w:val="1"/>
      <w:numFmt w:val="bullet"/>
      <w:pStyle w:val="BCVHHSBAbullet1"/>
      <w:lvlText w:val="•"/>
      <w:lvlJc w:val="left"/>
      <w:pPr>
        <w:ind w:left="284" w:hanging="284"/>
      </w:pPr>
      <w:rPr>
        <w:rFonts w:ascii="Calibri" w:hAnsi="Calibri" w:hint="default"/>
      </w:rPr>
    </w:lvl>
    <w:lvl w:ilvl="1" w:tplc="704E00D0">
      <w:start w:val="1"/>
      <w:numFmt w:val="bullet"/>
      <w:lvlText w:val=""/>
      <w:lvlJc w:val="left"/>
      <w:pPr>
        <w:ind w:left="567" w:hanging="283"/>
      </w:pPr>
      <w:rPr>
        <w:rFonts w:ascii="Symbol" w:hAnsi="Symbol" w:hint="default"/>
      </w:rPr>
    </w:lvl>
    <w:lvl w:ilvl="2" w:tplc="7C6E2646">
      <w:start w:val="1"/>
      <w:numFmt w:val="none"/>
      <w:lvlRestart w:val="0"/>
      <w:lvlText w:val=""/>
      <w:lvlJc w:val="left"/>
      <w:pPr>
        <w:ind w:left="0" w:firstLine="0"/>
      </w:pPr>
    </w:lvl>
    <w:lvl w:ilvl="3" w:tplc="D87ED5C8">
      <w:start w:val="1"/>
      <w:numFmt w:val="bullet"/>
      <w:lvlText w:val=""/>
      <w:lvlJc w:val="left"/>
      <w:pPr>
        <w:ind w:left="0" w:firstLine="0"/>
      </w:pPr>
      <w:rPr>
        <w:rFonts w:ascii="Symbol" w:hAnsi="Symbol" w:hint="default"/>
      </w:rPr>
    </w:lvl>
    <w:lvl w:ilvl="4" w:tplc="D1D67B76">
      <w:start w:val="1"/>
      <w:numFmt w:val="none"/>
      <w:lvlRestart w:val="0"/>
      <w:lvlText w:val=""/>
      <w:lvlJc w:val="left"/>
      <w:pPr>
        <w:ind w:left="0" w:firstLine="0"/>
      </w:pPr>
    </w:lvl>
    <w:lvl w:ilvl="5" w:tplc="E4FC4226">
      <w:start w:val="1"/>
      <w:numFmt w:val="none"/>
      <w:lvlRestart w:val="0"/>
      <w:lvlText w:val=""/>
      <w:lvlJc w:val="left"/>
      <w:pPr>
        <w:ind w:left="0" w:firstLine="0"/>
      </w:pPr>
    </w:lvl>
    <w:lvl w:ilvl="6" w:tplc="32205358">
      <w:start w:val="1"/>
      <w:numFmt w:val="none"/>
      <w:lvlRestart w:val="0"/>
      <w:lvlText w:val=""/>
      <w:lvlJc w:val="left"/>
      <w:pPr>
        <w:ind w:left="0" w:firstLine="0"/>
      </w:pPr>
    </w:lvl>
    <w:lvl w:ilvl="7" w:tplc="AFB8B6F0">
      <w:start w:val="1"/>
      <w:numFmt w:val="none"/>
      <w:lvlRestart w:val="0"/>
      <w:lvlText w:val=""/>
      <w:lvlJc w:val="left"/>
      <w:pPr>
        <w:ind w:left="0" w:firstLine="0"/>
      </w:pPr>
    </w:lvl>
    <w:lvl w:ilvl="8" w:tplc="86DE871E">
      <w:start w:val="1"/>
      <w:numFmt w:val="none"/>
      <w:lvlRestart w:val="0"/>
      <w:lvlText w:val=""/>
      <w:lvlJc w:val="left"/>
      <w:pPr>
        <w:ind w:left="0" w:firstLine="0"/>
      </w:pPr>
    </w:lvl>
  </w:abstractNum>
  <w:abstractNum w:abstractNumId="5" w15:restartNumberingAfterBreak="0">
    <w:nsid w:val="2217741F"/>
    <w:multiLevelType w:val="hybridMultilevel"/>
    <w:tmpl w:val="A41EC444"/>
    <w:styleLink w:val="Numbers"/>
    <w:lvl w:ilvl="0" w:tplc="C778D380">
      <w:start w:val="1"/>
      <w:numFmt w:val="decimal"/>
      <w:pStyle w:val="Numbers1"/>
      <w:lvlText w:val="%1."/>
      <w:lvlJc w:val="left"/>
      <w:pPr>
        <w:ind w:left="357" w:hanging="357"/>
      </w:pPr>
    </w:lvl>
    <w:lvl w:ilvl="1" w:tplc="54465998">
      <w:start w:val="1"/>
      <w:numFmt w:val="lowerLetter"/>
      <w:pStyle w:val="Numbers2"/>
      <w:lvlText w:val="%2."/>
      <w:lvlJc w:val="left"/>
      <w:pPr>
        <w:ind w:left="868" w:hanging="358"/>
      </w:pPr>
    </w:lvl>
    <w:lvl w:ilvl="2" w:tplc="B338E226">
      <w:start w:val="1"/>
      <w:numFmt w:val="lowerLetter"/>
      <w:pStyle w:val="Numbers3"/>
      <w:lvlText w:val="%3."/>
      <w:lvlJc w:val="left"/>
      <w:pPr>
        <w:ind w:left="1378" w:hanging="357"/>
      </w:pPr>
    </w:lvl>
    <w:lvl w:ilvl="3" w:tplc="4F92FDBA">
      <w:start w:val="1"/>
      <w:numFmt w:val="decimal"/>
      <w:lvlText w:val="%4."/>
      <w:lvlJc w:val="left"/>
      <w:pPr>
        <w:ind w:left="1428" w:hanging="357"/>
      </w:pPr>
    </w:lvl>
    <w:lvl w:ilvl="4" w:tplc="6E8EDB2A">
      <w:start w:val="1"/>
      <w:numFmt w:val="lowerLetter"/>
      <w:lvlText w:val="%5."/>
      <w:lvlJc w:val="left"/>
      <w:pPr>
        <w:ind w:left="1785" w:hanging="357"/>
      </w:pPr>
    </w:lvl>
    <w:lvl w:ilvl="5" w:tplc="57D61850">
      <w:start w:val="1"/>
      <w:numFmt w:val="lowerRoman"/>
      <w:lvlText w:val="%6."/>
      <w:lvlJc w:val="left"/>
      <w:pPr>
        <w:ind w:left="2142" w:hanging="357"/>
      </w:pPr>
    </w:lvl>
    <w:lvl w:ilvl="6" w:tplc="0A3265D2">
      <w:start w:val="1"/>
      <w:numFmt w:val="decimal"/>
      <w:lvlText w:val="%7."/>
      <w:lvlJc w:val="left"/>
      <w:pPr>
        <w:ind w:left="2499" w:hanging="357"/>
      </w:pPr>
    </w:lvl>
    <w:lvl w:ilvl="7" w:tplc="BE181056">
      <w:start w:val="1"/>
      <w:numFmt w:val="lowerLetter"/>
      <w:lvlText w:val="%8."/>
      <w:lvlJc w:val="left"/>
      <w:pPr>
        <w:ind w:left="2856" w:hanging="357"/>
      </w:pPr>
    </w:lvl>
    <w:lvl w:ilvl="8" w:tplc="F39AF0EA">
      <w:start w:val="1"/>
      <w:numFmt w:val="lowerRoman"/>
      <w:lvlText w:val="%9."/>
      <w:lvlJc w:val="left"/>
      <w:pPr>
        <w:ind w:left="3213" w:hanging="357"/>
      </w:pPr>
    </w:lvl>
  </w:abstractNum>
  <w:abstractNum w:abstractNumId="6"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4303A5"/>
    <w:multiLevelType w:val="multilevel"/>
    <w:tmpl w:val="2104DDEE"/>
    <w:styleLink w:val="ZZNumbers"/>
    <w:lvl w:ilvl="0">
      <w:start w:val="1"/>
      <w:numFmt w:val="decimal"/>
      <w:lvlText w:val="%1."/>
      <w:lvlJc w:val="left"/>
      <w:pPr>
        <w:tabs>
          <w:tab w:val="num" w:pos="397"/>
        </w:tabs>
        <w:ind w:left="397" w:hanging="397"/>
      </w:pPr>
    </w:lvl>
    <w:lvl w:ilvl="1">
      <w:start w:val="1"/>
      <w:numFmt w:val="decimal"/>
      <w:lvlRestart w:val="0"/>
      <w:lvlText w:val="%2."/>
      <w:lvlJc w:val="left"/>
      <w:pPr>
        <w:tabs>
          <w:tab w:val="num" w:pos="794"/>
        </w:tabs>
        <w:ind w:left="794" w:hanging="397"/>
      </w:pPr>
    </w:lvl>
    <w:lvl w:ilvl="2">
      <w:start w:val="1"/>
      <w:numFmt w:val="lowerLetter"/>
      <w:lvlRestart w:val="0"/>
      <w:lvlText w:val="(%3)"/>
      <w:lvlJc w:val="left"/>
      <w:pPr>
        <w:tabs>
          <w:tab w:val="num" w:pos="397"/>
        </w:tabs>
        <w:ind w:left="397" w:hanging="397"/>
      </w:pPr>
    </w:lvl>
    <w:lvl w:ilvl="3">
      <w:start w:val="1"/>
      <w:numFmt w:val="lowerLetter"/>
      <w:lvlRestart w:val="0"/>
      <w:lvlText w:val="(%4)"/>
      <w:lvlJc w:val="left"/>
      <w:pPr>
        <w:tabs>
          <w:tab w:val="num" w:pos="794"/>
        </w:tabs>
        <w:ind w:left="794" w:hanging="397"/>
      </w:pPr>
    </w:lvl>
    <w:lvl w:ilvl="4">
      <w:start w:val="1"/>
      <w:numFmt w:val="lowerRoman"/>
      <w:lvlRestart w:val="0"/>
      <w:lvlText w:val="(%5)"/>
      <w:lvlJc w:val="left"/>
      <w:pPr>
        <w:tabs>
          <w:tab w:val="num" w:pos="397"/>
        </w:tabs>
        <w:ind w:left="397" w:hanging="397"/>
      </w:pPr>
    </w:lvl>
    <w:lvl w:ilvl="5">
      <w:start w:val="1"/>
      <w:numFmt w:val="lowerRoman"/>
      <w:lvlRestart w:val="0"/>
      <w:lvlText w:val="(%6)"/>
      <w:lvlJc w:val="left"/>
      <w:pPr>
        <w:tabs>
          <w:tab w:val="num" w:pos="794"/>
        </w:tabs>
        <w:ind w:left="794" w:hanging="397"/>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8"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7FB06E4"/>
    <w:multiLevelType w:val="hybridMultilevel"/>
    <w:tmpl w:val="DFBCB8F4"/>
    <w:lvl w:ilvl="0" w:tplc="0C090001">
      <w:start w:val="1"/>
      <w:numFmt w:val="bullet"/>
      <w:lvlText w:val=""/>
      <w:lvlJc w:val="left"/>
      <w:pPr>
        <w:ind w:left="720" w:hanging="360"/>
      </w:pPr>
      <w:rPr>
        <w:rFonts w:ascii="Symbol" w:hAnsi="Symbol" w:hint="default"/>
      </w:rPr>
    </w:lvl>
    <w:lvl w:ilvl="1" w:tplc="CADAB5EC">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4DD100E"/>
    <w:multiLevelType w:val="multilevel"/>
    <w:tmpl w:val="EC2C0F22"/>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8079" w:hanging="283"/>
      </w:pPr>
      <w:rPr>
        <w:rFonts w:ascii="Calibri" w:hAnsi="Calibri"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6" w15:restartNumberingAfterBreak="0">
    <w:nsid w:val="7FD44514"/>
    <w:multiLevelType w:val="multilevel"/>
    <w:tmpl w:val="78BC3514"/>
    <w:lvl w:ilvl="0">
      <w:start w:val="1"/>
      <w:numFmt w:val="lowerLetter"/>
      <w:pStyle w:val="Listnum"/>
      <w:lvlText w:val="(%1)"/>
      <w:lvlJc w:val="left"/>
      <w:pPr>
        <w:tabs>
          <w:tab w:val="num" w:pos="360"/>
        </w:tabs>
        <w:ind w:left="360" w:hanging="360"/>
      </w:pPr>
    </w:lvl>
    <w:lvl w:ilvl="1">
      <w:start w:val="1"/>
      <w:numFmt w:val="lowerRoman"/>
      <w:pStyle w:val="Listnum2"/>
      <w:lvlText w:val="(%2)"/>
      <w:lvlJc w:val="left"/>
      <w:pPr>
        <w:tabs>
          <w:tab w:val="num" w:pos="864"/>
        </w:tabs>
        <w:ind w:left="720" w:hanging="360"/>
      </w:pPr>
    </w:lvl>
    <w:lvl w:ilvl="2">
      <w:start w:val="1"/>
      <w:numFmt w:val="decimal"/>
      <w:pStyle w:val="Heading1numbered"/>
      <w:lvlText w:val="%3."/>
      <w:lvlJc w:val="left"/>
      <w:pPr>
        <w:tabs>
          <w:tab w:val="num" w:pos="792"/>
        </w:tabs>
        <w:ind w:left="792" w:hanging="792"/>
      </w:pPr>
    </w:lvl>
    <w:lvl w:ilvl="3">
      <w:start w:val="1"/>
      <w:numFmt w:val="decimal"/>
      <w:pStyle w:val="Heading2numbered"/>
      <w:lvlText w:val="%3.%4"/>
      <w:lvlJc w:val="left"/>
      <w:pPr>
        <w:tabs>
          <w:tab w:val="num" w:pos="792"/>
        </w:tabs>
        <w:ind w:left="792" w:hanging="792"/>
      </w:pPr>
    </w:lvl>
    <w:lvl w:ilvl="4">
      <w:start w:val="1"/>
      <w:numFmt w:val="decimal"/>
      <w:lvlRestart w:val="1"/>
      <w:pStyle w:val="Heading3numbered"/>
      <w:lvlText w:val="%3.%4.%5"/>
      <w:lvlJc w:val="left"/>
      <w:pPr>
        <w:tabs>
          <w:tab w:val="num" w:pos="792"/>
        </w:tabs>
        <w:ind w:left="792" w:hanging="792"/>
      </w:pPr>
    </w:lvl>
    <w:lvl w:ilvl="5">
      <w:start w:val="1"/>
      <w:numFmt w:val="decimal"/>
      <w:pStyle w:val="Heading4numbered"/>
      <w:lvlText w:val="%3.%4.%5.%6"/>
      <w:lvlJc w:val="left"/>
      <w:pPr>
        <w:tabs>
          <w:tab w:val="num" w:pos="792"/>
        </w:tabs>
        <w:ind w:left="792" w:hanging="792"/>
      </w:pPr>
    </w:lvl>
    <w:lvl w:ilvl="6">
      <w:start w:val="1"/>
      <w:numFmt w:val="lowerLetter"/>
      <w:pStyle w:val="Listnumindent"/>
      <w:lvlText w:val="(%7)"/>
      <w:lvlJc w:val="left"/>
      <w:pPr>
        <w:tabs>
          <w:tab w:val="num" w:pos="1296"/>
        </w:tabs>
        <w:ind w:left="1296" w:hanging="504"/>
      </w:pPr>
    </w:lvl>
    <w:lvl w:ilvl="7">
      <w:start w:val="1"/>
      <w:numFmt w:val="lowerRoman"/>
      <w:pStyle w:val="Listnumindent2"/>
      <w:lvlText w:val="(%8)"/>
      <w:lvlJc w:val="left"/>
      <w:pPr>
        <w:tabs>
          <w:tab w:val="num" w:pos="1800"/>
        </w:tabs>
        <w:ind w:left="1800" w:hanging="504"/>
      </w:pPr>
    </w:lvl>
    <w:lvl w:ilvl="8">
      <w:start w:val="1"/>
      <w:numFmt w:val="decimal"/>
      <w:pStyle w:val="Numparaindent"/>
      <w:lvlText w:val="%9."/>
      <w:lvlJc w:val="left"/>
      <w:pPr>
        <w:tabs>
          <w:tab w:val="num" w:pos="1296"/>
        </w:tabs>
        <w:ind w:left="1296" w:hanging="504"/>
      </w:pPr>
    </w:lvl>
  </w:abstractNum>
  <w:num w:numId="1">
    <w:abstractNumId w:val="0"/>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lvl w:ilvl="0" w:tplc="722C91BC">
        <w:start w:val="1"/>
        <w:numFmt w:val="decimal"/>
        <w:pStyle w:val="BCVHHSBAbullet1"/>
        <w:lvlText w:val="•"/>
        <w:lvlJc w:val="left"/>
        <w:pPr>
          <w:ind w:left="284" w:hanging="284"/>
        </w:pPr>
        <w:rPr>
          <w:rFonts w:ascii="Calibri" w:hAnsi="Calibri" w:hint="default"/>
        </w:rPr>
      </w:lvl>
    </w:lvlOverride>
    <w:lvlOverride w:ilvl="1">
      <w:lvl w:ilvl="1" w:tplc="704E00D0">
        <w:start w:val="1"/>
        <w:numFmt w:val="decimal"/>
        <w:lvlText w:val=""/>
        <w:lvlJc w:val="left"/>
        <w:pPr>
          <w:ind w:left="567" w:hanging="283"/>
        </w:pPr>
        <w:rPr>
          <w:rFonts w:ascii="Symbol" w:hAnsi="Symbol" w:hint="default"/>
        </w:rPr>
      </w:lvl>
    </w:lvlOverride>
    <w:lvlOverride w:ilvl="2">
      <w:lvl w:ilvl="2" w:tplc="7C6E2646">
        <w:start w:val="1"/>
        <w:numFmt w:val="decimal"/>
        <w:lvlRestart w:val="0"/>
        <w:lvlText w:val=""/>
        <w:lvlJc w:val="left"/>
        <w:pPr>
          <w:ind w:left="0" w:firstLine="0"/>
        </w:pPr>
      </w:lvl>
    </w:lvlOverride>
    <w:lvlOverride w:ilvl="3">
      <w:lvl w:ilvl="3" w:tplc="D87ED5C8">
        <w:start w:val="1"/>
        <w:numFmt w:val="decimal"/>
        <w:lvlText w:val=""/>
        <w:lvlJc w:val="left"/>
        <w:pPr>
          <w:ind w:left="0" w:firstLine="0"/>
        </w:pPr>
        <w:rPr>
          <w:rFonts w:ascii="Symbol" w:hAnsi="Symbol" w:hint="default"/>
        </w:rPr>
      </w:lvl>
    </w:lvlOverride>
    <w:lvlOverride w:ilvl="4">
      <w:lvl w:ilvl="4" w:tplc="D1D67B76">
        <w:start w:val="1"/>
        <w:numFmt w:val="decimal"/>
        <w:lvlRestart w:val="0"/>
        <w:lvlText w:val=""/>
        <w:lvlJc w:val="left"/>
        <w:pPr>
          <w:ind w:left="0" w:firstLine="0"/>
        </w:pPr>
      </w:lvl>
    </w:lvlOverride>
    <w:lvlOverride w:ilvl="5">
      <w:lvl w:ilvl="5" w:tplc="E4FC4226">
        <w:start w:val="1"/>
        <w:numFmt w:val="decimal"/>
        <w:lvlRestart w:val="0"/>
        <w:lvlText w:val=""/>
        <w:lvlJc w:val="left"/>
        <w:pPr>
          <w:ind w:left="0" w:firstLine="0"/>
        </w:pPr>
      </w:lvl>
    </w:lvlOverride>
    <w:lvlOverride w:ilvl="6">
      <w:lvl w:ilvl="6" w:tplc="32205358">
        <w:start w:val="1"/>
        <w:numFmt w:val="decimal"/>
        <w:lvlRestart w:val="0"/>
        <w:lvlText w:val=""/>
        <w:lvlJc w:val="left"/>
        <w:pPr>
          <w:ind w:left="0" w:firstLine="0"/>
        </w:pPr>
      </w:lvl>
    </w:lvlOverride>
    <w:lvlOverride w:ilvl="7">
      <w:lvl w:ilvl="7" w:tplc="AFB8B6F0">
        <w:start w:val="1"/>
        <w:numFmt w:val="decimal"/>
        <w:lvlRestart w:val="0"/>
        <w:lvlText w:val=""/>
        <w:lvlJc w:val="left"/>
        <w:pPr>
          <w:ind w:left="0" w:firstLine="0"/>
        </w:pPr>
      </w:lvl>
    </w:lvlOverride>
    <w:lvlOverride w:ilvl="8">
      <w:lvl w:ilvl="8" w:tplc="86DE871E">
        <w:start w:val="1"/>
        <w:numFmt w:val="decimal"/>
        <w:lvlRestart w:val="0"/>
        <w:lvlText w:val=""/>
        <w:lvlJc w:val="left"/>
        <w:pPr>
          <w:ind w:left="0" w:firstLine="0"/>
        </w:pPr>
      </w:lvl>
    </w:lvlOverride>
  </w:num>
  <w:num w:numId="33">
    <w:abstractNumId w:val="12"/>
  </w:num>
  <w:num w:numId="34">
    <w:abstractNumId w:val="12"/>
  </w:num>
  <w:num w:numId="35">
    <w:abstractNumId w:val="7"/>
  </w:num>
  <w:num w:numId="36">
    <w:abstractNumId w:val="7"/>
    <w:lvlOverride w:ilvl="0">
      <w:lvl w:ilvl="0">
        <w:start w:val="1"/>
        <w:numFmt w:val="decimal"/>
        <w:lvlText w:val="%1."/>
        <w:lvlJc w:val="left"/>
        <w:pPr>
          <w:tabs>
            <w:tab w:val="num" w:pos="397"/>
          </w:tabs>
          <w:ind w:left="397" w:hanging="397"/>
        </w:pPr>
      </w:lvl>
    </w:lvlOverride>
    <w:lvlOverride w:ilvl="1">
      <w:lvl w:ilvl="1">
        <w:start w:val="1"/>
        <w:numFmt w:val="decimal"/>
        <w:lvlRestart w:val="0"/>
        <w:lvlText w:val="%2."/>
        <w:lvlJc w:val="left"/>
        <w:pPr>
          <w:tabs>
            <w:tab w:val="num" w:pos="794"/>
          </w:tabs>
          <w:ind w:left="794" w:hanging="397"/>
        </w:pPr>
      </w:lvl>
    </w:lvlOverride>
    <w:lvlOverride w:ilvl="2">
      <w:lvl w:ilvl="2">
        <w:start w:val="1"/>
        <w:numFmt w:val="lowerLetter"/>
        <w:lvlRestart w:val="0"/>
        <w:lvlText w:val="(%3)"/>
        <w:lvlJc w:val="left"/>
        <w:pPr>
          <w:tabs>
            <w:tab w:val="num" w:pos="397"/>
          </w:tabs>
          <w:ind w:left="397" w:hanging="397"/>
        </w:pPr>
      </w:lvl>
    </w:lvlOverride>
    <w:lvlOverride w:ilvl="3">
      <w:lvl w:ilvl="3">
        <w:start w:val="1"/>
        <w:numFmt w:val="lowerLetter"/>
        <w:lvlRestart w:val="0"/>
        <w:lvlText w:val="(%4)"/>
        <w:lvlJc w:val="left"/>
        <w:pPr>
          <w:tabs>
            <w:tab w:val="num" w:pos="794"/>
          </w:tabs>
          <w:ind w:left="794" w:hanging="397"/>
        </w:pPr>
      </w:lvl>
    </w:lvlOverride>
    <w:lvlOverride w:ilvl="4">
      <w:lvl w:ilvl="4">
        <w:start w:val="1"/>
        <w:numFmt w:val="lowerRoman"/>
        <w:lvlRestart w:val="0"/>
        <w:lvlText w:val="(%5)"/>
        <w:lvlJc w:val="left"/>
        <w:pPr>
          <w:tabs>
            <w:tab w:val="num" w:pos="397"/>
          </w:tabs>
          <w:ind w:left="397" w:hanging="397"/>
        </w:pPr>
      </w:lvl>
    </w:lvlOverride>
    <w:lvlOverride w:ilvl="5">
      <w:lvl w:ilvl="5">
        <w:start w:val="1"/>
        <w:numFmt w:val="lowerRoman"/>
        <w:lvlRestart w:val="0"/>
        <w:lvlText w:val="(%6)"/>
        <w:lvlJc w:val="left"/>
        <w:pPr>
          <w:tabs>
            <w:tab w:val="num" w:pos="794"/>
          </w:tabs>
          <w:ind w:left="794" w:hanging="397"/>
        </w:pPr>
      </w:lvl>
    </w:lvlOverride>
    <w:lvlOverride w:ilvl="6">
      <w:lvl w:ilvl="6">
        <w:start w:val="1"/>
        <w:numFmt w:val="none"/>
        <w:lvlRestart w:val="0"/>
        <w:lvlText w:val=""/>
        <w:lvlJc w:val="left"/>
        <w:pPr>
          <w:ind w:left="0" w:firstLine="0"/>
        </w:pPr>
      </w:lvl>
    </w:lvlOverride>
    <w:lvlOverride w:ilvl="7">
      <w:lvl w:ilvl="7">
        <w:start w:val="1"/>
        <w:numFmt w:val="none"/>
        <w:lvlRestart w:val="0"/>
        <w:lvlText w:val=""/>
        <w:lvlJc w:val="left"/>
        <w:pPr>
          <w:ind w:left="0" w:firstLine="0"/>
        </w:pPr>
      </w:lvl>
    </w:lvlOverride>
    <w:lvlOverride w:ilvl="8">
      <w:lvl w:ilvl="8">
        <w:start w:val="1"/>
        <w:numFmt w:val="none"/>
        <w:lvlRestart w:val="0"/>
        <w:lvlText w:val=""/>
        <w:lvlJc w:val="right"/>
        <w:pPr>
          <w:ind w:left="0" w:firstLine="0"/>
        </w:pPr>
      </w:lvl>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7A69"/>
    <w:rsid w:val="0000682E"/>
    <w:rsid w:val="000072B6"/>
    <w:rsid w:val="0001021B"/>
    <w:rsid w:val="00011D89"/>
    <w:rsid w:val="000154FD"/>
    <w:rsid w:val="00024D89"/>
    <w:rsid w:val="000250B6"/>
    <w:rsid w:val="00033D81"/>
    <w:rsid w:val="00041A51"/>
    <w:rsid w:val="00041BF0"/>
    <w:rsid w:val="00043279"/>
    <w:rsid w:val="0004536B"/>
    <w:rsid w:val="00046B68"/>
    <w:rsid w:val="000527DD"/>
    <w:rsid w:val="000578B2"/>
    <w:rsid w:val="00057D0C"/>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E778A"/>
    <w:rsid w:val="000F1F1E"/>
    <w:rsid w:val="000F2259"/>
    <w:rsid w:val="000F7246"/>
    <w:rsid w:val="0010392D"/>
    <w:rsid w:val="0010447F"/>
    <w:rsid w:val="00104FE3"/>
    <w:rsid w:val="00120BD3"/>
    <w:rsid w:val="00122FEA"/>
    <w:rsid w:val="001232BD"/>
    <w:rsid w:val="00124ED5"/>
    <w:rsid w:val="001276FA"/>
    <w:rsid w:val="001447B3"/>
    <w:rsid w:val="00152073"/>
    <w:rsid w:val="0015386C"/>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1931"/>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155"/>
    <w:rsid w:val="00251343"/>
    <w:rsid w:val="002536A4"/>
    <w:rsid w:val="00254F58"/>
    <w:rsid w:val="002620BC"/>
    <w:rsid w:val="00262802"/>
    <w:rsid w:val="00263A90"/>
    <w:rsid w:val="0026408B"/>
    <w:rsid w:val="00267C3E"/>
    <w:rsid w:val="002709BB"/>
    <w:rsid w:val="00273BAC"/>
    <w:rsid w:val="002763B3"/>
    <w:rsid w:val="002802E3"/>
    <w:rsid w:val="0028213D"/>
    <w:rsid w:val="0028334D"/>
    <w:rsid w:val="002862F1"/>
    <w:rsid w:val="00291373"/>
    <w:rsid w:val="0029597D"/>
    <w:rsid w:val="002962C3"/>
    <w:rsid w:val="00297124"/>
    <w:rsid w:val="0029752B"/>
    <w:rsid w:val="002A483C"/>
    <w:rsid w:val="002B0C7C"/>
    <w:rsid w:val="002B1729"/>
    <w:rsid w:val="002B36C7"/>
    <w:rsid w:val="002B4DD4"/>
    <w:rsid w:val="002B5277"/>
    <w:rsid w:val="002B5375"/>
    <w:rsid w:val="002B77C1"/>
    <w:rsid w:val="002C2728"/>
    <w:rsid w:val="002C4079"/>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0A65"/>
    <w:rsid w:val="003D2766"/>
    <w:rsid w:val="003D3E8F"/>
    <w:rsid w:val="003D6475"/>
    <w:rsid w:val="003E1CC6"/>
    <w:rsid w:val="003E375C"/>
    <w:rsid w:val="003E4086"/>
    <w:rsid w:val="003F0445"/>
    <w:rsid w:val="003F0CF0"/>
    <w:rsid w:val="003F14B1"/>
    <w:rsid w:val="003F3289"/>
    <w:rsid w:val="004013C7"/>
    <w:rsid w:val="00401FCF"/>
    <w:rsid w:val="00406285"/>
    <w:rsid w:val="00407AA6"/>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6F52"/>
    <w:rsid w:val="004C6EEE"/>
    <w:rsid w:val="004C702B"/>
    <w:rsid w:val="004D0033"/>
    <w:rsid w:val="004D016B"/>
    <w:rsid w:val="004D1B22"/>
    <w:rsid w:val="004D36F2"/>
    <w:rsid w:val="004E1106"/>
    <w:rsid w:val="004E138F"/>
    <w:rsid w:val="004E4649"/>
    <w:rsid w:val="004E5C2B"/>
    <w:rsid w:val="004F00DD"/>
    <w:rsid w:val="004F0529"/>
    <w:rsid w:val="004F2133"/>
    <w:rsid w:val="004F55F1"/>
    <w:rsid w:val="004F6936"/>
    <w:rsid w:val="00503DC6"/>
    <w:rsid w:val="00506F5D"/>
    <w:rsid w:val="005126D0"/>
    <w:rsid w:val="0051568D"/>
    <w:rsid w:val="00526C15"/>
    <w:rsid w:val="00536499"/>
    <w:rsid w:val="00543903"/>
    <w:rsid w:val="00543F11"/>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0C87"/>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3510"/>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65FA8"/>
    <w:rsid w:val="00770F37"/>
    <w:rsid w:val="007711A0"/>
    <w:rsid w:val="00772D5E"/>
    <w:rsid w:val="00776928"/>
    <w:rsid w:val="00782066"/>
    <w:rsid w:val="007838E1"/>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D66EF"/>
    <w:rsid w:val="007E0DE2"/>
    <w:rsid w:val="007E3B98"/>
    <w:rsid w:val="007E417A"/>
    <w:rsid w:val="007F0F3F"/>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4A95"/>
    <w:rsid w:val="00867D9D"/>
    <w:rsid w:val="00872E0A"/>
    <w:rsid w:val="00875285"/>
    <w:rsid w:val="008813E2"/>
    <w:rsid w:val="00884B62"/>
    <w:rsid w:val="0088529C"/>
    <w:rsid w:val="00887903"/>
    <w:rsid w:val="0089270A"/>
    <w:rsid w:val="00893AF6"/>
    <w:rsid w:val="00894542"/>
    <w:rsid w:val="00894BC4"/>
    <w:rsid w:val="008A5B32"/>
    <w:rsid w:val="008B2EE4"/>
    <w:rsid w:val="008B4D3D"/>
    <w:rsid w:val="008B57C7"/>
    <w:rsid w:val="008C2F92"/>
    <w:rsid w:val="008C38EF"/>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0A93"/>
    <w:rsid w:val="00924AE1"/>
    <w:rsid w:val="009269B1"/>
    <w:rsid w:val="0092724D"/>
    <w:rsid w:val="0093338F"/>
    <w:rsid w:val="00937BD9"/>
    <w:rsid w:val="00947730"/>
    <w:rsid w:val="00950E2C"/>
    <w:rsid w:val="00951D50"/>
    <w:rsid w:val="009525EB"/>
    <w:rsid w:val="00954874"/>
    <w:rsid w:val="00955FB3"/>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5F52"/>
    <w:rsid w:val="00AC274B"/>
    <w:rsid w:val="00AC4764"/>
    <w:rsid w:val="00AC6D36"/>
    <w:rsid w:val="00AD0CBA"/>
    <w:rsid w:val="00AD26E2"/>
    <w:rsid w:val="00AD784C"/>
    <w:rsid w:val="00AE126A"/>
    <w:rsid w:val="00AE3005"/>
    <w:rsid w:val="00AE3422"/>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804"/>
    <w:rsid w:val="00B66D83"/>
    <w:rsid w:val="00B672C0"/>
    <w:rsid w:val="00B70F50"/>
    <w:rsid w:val="00B75646"/>
    <w:rsid w:val="00B8044E"/>
    <w:rsid w:val="00B90729"/>
    <w:rsid w:val="00B907DA"/>
    <w:rsid w:val="00B950BC"/>
    <w:rsid w:val="00B9714C"/>
    <w:rsid w:val="00BA29AD"/>
    <w:rsid w:val="00BA3F8D"/>
    <w:rsid w:val="00BB7A10"/>
    <w:rsid w:val="00BC7468"/>
    <w:rsid w:val="00BC7D4F"/>
    <w:rsid w:val="00BC7ED7"/>
    <w:rsid w:val="00BD2850"/>
    <w:rsid w:val="00BE28D2"/>
    <w:rsid w:val="00BE2DC8"/>
    <w:rsid w:val="00BE4A64"/>
    <w:rsid w:val="00BF557D"/>
    <w:rsid w:val="00BF7F58"/>
    <w:rsid w:val="00C01381"/>
    <w:rsid w:val="00C01AB1"/>
    <w:rsid w:val="00C0329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75963"/>
    <w:rsid w:val="00C863C4"/>
    <w:rsid w:val="00C920EA"/>
    <w:rsid w:val="00C93C3E"/>
    <w:rsid w:val="00CA12E3"/>
    <w:rsid w:val="00CA6611"/>
    <w:rsid w:val="00CA6AE6"/>
    <w:rsid w:val="00CA782F"/>
    <w:rsid w:val="00CB3285"/>
    <w:rsid w:val="00CC0C72"/>
    <w:rsid w:val="00CC2BFD"/>
    <w:rsid w:val="00CD3476"/>
    <w:rsid w:val="00CD64DF"/>
    <w:rsid w:val="00CE7A69"/>
    <w:rsid w:val="00CF2F50"/>
    <w:rsid w:val="00CF50EE"/>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7AF2"/>
    <w:rsid w:val="00D714CC"/>
    <w:rsid w:val="00D75EA7"/>
    <w:rsid w:val="00D81F21"/>
    <w:rsid w:val="00D8251B"/>
    <w:rsid w:val="00D95470"/>
    <w:rsid w:val="00DA2619"/>
    <w:rsid w:val="00DA4239"/>
    <w:rsid w:val="00DB0B61"/>
    <w:rsid w:val="00DB52FB"/>
    <w:rsid w:val="00DC090B"/>
    <w:rsid w:val="00DC1679"/>
    <w:rsid w:val="00DC2CF1"/>
    <w:rsid w:val="00DC4FCF"/>
    <w:rsid w:val="00DC50E0"/>
    <w:rsid w:val="00DC6386"/>
    <w:rsid w:val="00DD1130"/>
    <w:rsid w:val="00DD1951"/>
    <w:rsid w:val="00DD482C"/>
    <w:rsid w:val="00DD6628"/>
    <w:rsid w:val="00DD6945"/>
    <w:rsid w:val="00DD7A66"/>
    <w:rsid w:val="00DE3250"/>
    <w:rsid w:val="00DE335F"/>
    <w:rsid w:val="00DE6028"/>
    <w:rsid w:val="00DE78A3"/>
    <w:rsid w:val="00DF17BD"/>
    <w:rsid w:val="00DF1A71"/>
    <w:rsid w:val="00DF68C7"/>
    <w:rsid w:val="00DF731A"/>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01D"/>
    <w:rsid w:val="00EC1F24"/>
    <w:rsid w:val="00EC22F6"/>
    <w:rsid w:val="00ED5B9B"/>
    <w:rsid w:val="00ED6BAD"/>
    <w:rsid w:val="00ED7447"/>
    <w:rsid w:val="00EE1488"/>
    <w:rsid w:val="00EE3E24"/>
    <w:rsid w:val="00EE4D5D"/>
    <w:rsid w:val="00EE5131"/>
    <w:rsid w:val="00EE74E5"/>
    <w:rsid w:val="00EF109B"/>
    <w:rsid w:val="00EF36AF"/>
    <w:rsid w:val="00F00F9C"/>
    <w:rsid w:val="00F01C7D"/>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67E33"/>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E529EEC"/>
  <w15:docId w15:val="{72A44388-02C4-4F08-8605-1DD28236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CE7A69"/>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1D1931"/>
    <w:pPr>
      <w:keepNext/>
      <w:keepLines/>
      <w:spacing w:before="320" w:after="200" w:line="440" w:lineRule="atLeast"/>
      <w:outlineLvl w:val="0"/>
    </w:pPr>
    <w:rPr>
      <w:rFonts w:ascii="Arial" w:eastAsia="MS Gothic" w:hAnsi="Arial" w:cs="Arial"/>
      <w:bCs/>
      <w:color w:val="0074BC" w:themeColor="text2"/>
      <w:kern w:val="32"/>
      <w:sz w:val="36"/>
      <w:szCs w:val="40"/>
      <w:lang w:eastAsia="en-US"/>
    </w:rPr>
  </w:style>
  <w:style w:type="paragraph" w:styleId="Heading2">
    <w:name w:val="heading 2"/>
    <w:next w:val="DHHSbody"/>
    <w:link w:val="Heading2Char"/>
    <w:uiPriority w:val="1"/>
    <w:qFormat/>
    <w:rsid w:val="001D1931"/>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1931"/>
    <w:rPr>
      <w:rFonts w:ascii="Arial" w:eastAsia="MS Gothic" w:hAnsi="Arial" w:cs="Arial"/>
      <w:bCs/>
      <w:color w:val="0074BC" w:themeColor="text2"/>
      <w:kern w:val="32"/>
      <w:sz w:val="36"/>
      <w:szCs w:val="40"/>
      <w:lang w:eastAsia="en-US"/>
    </w:rPr>
  </w:style>
  <w:style w:type="character" w:customStyle="1" w:styleId="Heading2Char">
    <w:name w:val="Heading 2 Char"/>
    <w:link w:val="Heading2"/>
    <w:uiPriority w:val="1"/>
    <w:rsid w:val="001D1931"/>
    <w:rPr>
      <w:rFonts w:ascii="Arial" w:hAnsi="Arial"/>
      <w:b/>
      <w:color w:val="0074BC" w:themeColor="tex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10"/>
    <w:rsid w:val="00262802"/>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2C4079"/>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0074BC"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autoRedefine/>
    <w:uiPriority w:val="3"/>
    <w:qFormat/>
    <w:rsid w:val="00297124"/>
    <w:pPr>
      <w:spacing w:before="80" w:after="60"/>
    </w:pPr>
    <w:rPr>
      <w:rFonts w:ascii="Arial" w:hAnsi="Arial"/>
      <w:sz w:val="18"/>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autoRedefine/>
    <w:uiPriority w:val="3"/>
    <w:qFormat/>
    <w:rsid w:val="00297124"/>
    <w:pPr>
      <w:spacing w:before="80" w:after="60"/>
    </w:pPr>
    <w:rPr>
      <w:rFonts w:ascii="Arial" w:hAnsi="Arial"/>
      <w:b/>
      <w:color w:val="FFFFFF"/>
      <w:sz w:val="18"/>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99"/>
    <w:rsid w:val="00721CFB"/>
    <w:pPr>
      <w:numPr>
        <w:ilvl w:val="1"/>
        <w:numId w:val="22"/>
      </w:numPr>
    </w:pPr>
  </w:style>
  <w:style w:type="paragraph" w:customStyle="1" w:styleId="DHHSnumberdigitindent">
    <w:name w:val="DHHS number digit indent"/>
    <w:basedOn w:val="DHHSnumberloweralphaindent"/>
    <w:uiPriority w:val="99"/>
    <w:rsid w:val="008E7B49"/>
    <w:pPr>
      <w:numPr>
        <w:numId w:val="3"/>
      </w:numPr>
    </w:pPr>
  </w:style>
  <w:style w:type="paragraph" w:customStyle="1" w:styleId="DHHSnumberloweralpha">
    <w:name w:val="DHHS number lower alpha"/>
    <w:basedOn w:val="DHHSbody"/>
    <w:uiPriority w:val="99"/>
    <w:rsid w:val="00721CFB"/>
    <w:pPr>
      <w:numPr>
        <w:numId w:val="22"/>
      </w:numPr>
    </w:pPr>
  </w:style>
  <w:style w:type="paragraph" w:customStyle="1" w:styleId="DHHSnumberlowerroman">
    <w:name w:val="DHHS number lower roman"/>
    <w:basedOn w:val="DHHSbody"/>
    <w:uiPriority w:val="99"/>
    <w:rsid w:val="00721CFB"/>
    <w:pPr>
      <w:numPr>
        <w:numId w:val="13"/>
      </w:numPr>
    </w:pPr>
  </w:style>
  <w:style w:type="paragraph" w:customStyle="1" w:styleId="DHHSnumberlowerromanindent">
    <w:name w:val="DHHS number lower roman indent"/>
    <w:basedOn w:val="DHHSbody"/>
    <w:uiPriority w:val="99"/>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uiPriority w:val="99"/>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uiPriority w:val="99"/>
    <w:rsid w:val="008E7B49"/>
    <w:pPr>
      <w:numPr>
        <w:numId w:val="11"/>
      </w:numPr>
    </w:pPr>
  </w:style>
  <w:style w:type="paragraph" w:customStyle="1" w:styleId="DHHSquotebullet2">
    <w:name w:val="DHHS quote bullet 2"/>
    <w:basedOn w:val="DHHSquote"/>
    <w:uiPriority w:val="99"/>
    <w:rsid w:val="008E7B49"/>
    <w:pPr>
      <w:numPr>
        <w:ilvl w:val="1"/>
        <w:numId w:val="11"/>
      </w:numPr>
    </w:pPr>
  </w:style>
  <w:style w:type="paragraph" w:customStyle="1" w:styleId="msonormal0">
    <w:name w:val="msonormal"/>
    <w:basedOn w:val="Normal"/>
    <w:uiPriority w:val="99"/>
    <w:rsid w:val="00CE7A69"/>
    <w:rPr>
      <w:rFonts w:ascii="Times New Roman" w:eastAsiaTheme="minorHAnsi" w:hAnsi="Times New Roman"/>
      <w:sz w:val="24"/>
      <w:szCs w:val="24"/>
    </w:rPr>
  </w:style>
  <w:style w:type="paragraph" w:styleId="NormalWeb">
    <w:name w:val="Normal (Web)"/>
    <w:basedOn w:val="Normal"/>
    <w:uiPriority w:val="99"/>
    <w:semiHidden/>
    <w:unhideWhenUsed/>
    <w:rsid w:val="00CE7A69"/>
    <w:rPr>
      <w:rFonts w:ascii="Times New Roman" w:eastAsiaTheme="minorHAnsi" w:hAnsi="Times New Roman"/>
      <w:sz w:val="24"/>
      <w:szCs w:val="24"/>
    </w:rPr>
  </w:style>
  <w:style w:type="paragraph" w:styleId="NormalIndent">
    <w:name w:val="Normal Indent"/>
    <w:basedOn w:val="Normal"/>
    <w:uiPriority w:val="99"/>
    <w:semiHidden/>
    <w:unhideWhenUsed/>
    <w:rsid w:val="00CE7A69"/>
    <w:pPr>
      <w:ind w:left="720"/>
    </w:pPr>
  </w:style>
  <w:style w:type="paragraph" w:styleId="CommentText">
    <w:name w:val="annotation text"/>
    <w:basedOn w:val="Normal"/>
    <w:link w:val="CommentTextChar"/>
    <w:uiPriority w:val="99"/>
    <w:semiHidden/>
    <w:unhideWhenUsed/>
    <w:rsid w:val="00CE7A69"/>
    <w:pPr>
      <w:spacing w:line="240" w:lineRule="auto"/>
    </w:pPr>
    <w:rPr>
      <w:sz w:val="20"/>
      <w:szCs w:val="20"/>
    </w:rPr>
  </w:style>
  <w:style w:type="character" w:customStyle="1" w:styleId="CommentTextChar">
    <w:name w:val="Comment Text Char"/>
    <w:basedOn w:val="DefaultParagraphFont"/>
    <w:link w:val="CommentText"/>
    <w:uiPriority w:val="99"/>
    <w:semiHidden/>
    <w:rsid w:val="00CE7A69"/>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CE7A69"/>
    <w:rPr>
      <w:b/>
      <w:bCs/>
    </w:rPr>
  </w:style>
  <w:style w:type="character" w:customStyle="1" w:styleId="CommentSubjectChar">
    <w:name w:val="Comment Subject Char"/>
    <w:basedOn w:val="CommentTextChar"/>
    <w:link w:val="CommentSubject"/>
    <w:uiPriority w:val="99"/>
    <w:semiHidden/>
    <w:rsid w:val="00CE7A69"/>
    <w:rPr>
      <w:rFonts w:ascii="Calibri" w:eastAsia="Calibri" w:hAnsi="Calibri"/>
      <w:b/>
      <w:bCs/>
      <w:lang w:eastAsia="en-US"/>
    </w:rPr>
  </w:style>
  <w:style w:type="paragraph" w:styleId="BalloonText">
    <w:name w:val="Balloon Text"/>
    <w:basedOn w:val="Normal"/>
    <w:link w:val="BalloonTextChar"/>
    <w:uiPriority w:val="99"/>
    <w:semiHidden/>
    <w:unhideWhenUsed/>
    <w:rsid w:val="00CE7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69"/>
    <w:rPr>
      <w:rFonts w:ascii="Segoe UI" w:eastAsia="Calibri" w:hAnsi="Segoe UI" w:cs="Segoe UI"/>
      <w:sz w:val="18"/>
      <w:szCs w:val="18"/>
      <w:lang w:eastAsia="en-US"/>
    </w:rPr>
  </w:style>
  <w:style w:type="character" w:customStyle="1" w:styleId="ListParagraphChar">
    <w:name w:val="List Paragraph Char"/>
    <w:aliases w:val="List Paragraph1 Char,Bullet List Char,FooterText Char,Paragraphe de liste1 Char,OBC Bullet Char,F5 List Paragraph Char,Colorful List - Accent 11 Char,Normal numbered Char,Bullet 1 Char,Bullet Style Char,Sub heading txt Char,b1 Char"/>
    <w:basedOn w:val="DefaultParagraphFont"/>
    <w:link w:val="ListParagraph"/>
    <w:uiPriority w:val="34"/>
    <w:locked/>
    <w:rsid w:val="00CE7A69"/>
    <w:rPr>
      <w:rFonts w:ascii="Verdana" w:hAnsi="Verdana"/>
      <w:lang w:eastAsia="en-US"/>
    </w:rPr>
  </w:style>
  <w:style w:type="paragraph" w:styleId="ListParagraph">
    <w:name w:val="List Paragraph"/>
    <w:aliases w:val="List Paragraph1,Bullet List,FooterText,Paragraphe de liste1,OBC Bullet,F5 List Paragraph,Colorful List - Accent 11,Normal numbered,Bullet 1,Bullet Style,Sub heading txt,Bullet body,Body Text Numbered,Numbered Lists,List 1 Paragraph,b1,new"/>
    <w:basedOn w:val="Normal"/>
    <w:link w:val="ListParagraphChar"/>
    <w:uiPriority w:val="34"/>
    <w:qFormat/>
    <w:rsid w:val="00CE7A69"/>
    <w:pPr>
      <w:spacing w:after="0" w:line="240" w:lineRule="auto"/>
      <w:ind w:left="720"/>
      <w:contextualSpacing/>
    </w:pPr>
    <w:rPr>
      <w:rFonts w:ascii="Verdana" w:eastAsia="Times New Roman" w:hAnsi="Verdana"/>
      <w:sz w:val="20"/>
      <w:szCs w:val="20"/>
    </w:rPr>
  </w:style>
  <w:style w:type="character" w:customStyle="1" w:styleId="DHHSbodyChar">
    <w:name w:val="DHHS body Char"/>
    <w:link w:val="DHHSbody"/>
    <w:uiPriority w:val="99"/>
    <w:locked/>
    <w:rsid w:val="00CE7A69"/>
    <w:rPr>
      <w:rFonts w:ascii="Arial" w:eastAsia="Times" w:hAnsi="Arial"/>
      <w:lang w:eastAsia="en-US"/>
    </w:rPr>
  </w:style>
  <w:style w:type="paragraph" w:customStyle="1" w:styleId="DHHStablebullet">
    <w:name w:val="DHHS table bullet"/>
    <w:basedOn w:val="DHHStabletext"/>
    <w:uiPriority w:val="99"/>
    <w:qFormat/>
    <w:rsid w:val="00CE7A69"/>
    <w:pPr>
      <w:ind w:left="227" w:hanging="227"/>
    </w:pPr>
  </w:style>
  <w:style w:type="paragraph" w:customStyle="1" w:styleId="DHHSbulletindent">
    <w:name w:val="DHHS bullet indent"/>
    <w:basedOn w:val="DHHSbody"/>
    <w:uiPriority w:val="99"/>
    <w:rsid w:val="00CE7A69"/>
    <w:pPr>
      <w:spacing w:after="40"/>
      <w:ind w:left="680" w:hanging="283"/>
    </w:pPr>
  </w:style>
  <w:style w:type="paragraph" w:customStyle="1" w:styleId="DHHSbullet1lastline">
    <w:name w:val="DHHS bullet 1 last line"/>
    <w:basedOn w:val="DHHSbullet1"/>
    <w:uiPriority w:val="99"/>
    <w:qFormat/>
    <w:rsid w:val="00CE7A69"/>
    <w:pPr>
      <w:numPr>
        <w:numId w:val="0"/>
      </w:numPr>
      <w:spacing w:after="120"/>
      <w:ind w:left="284" w:hanging="284"/>
    </w:pPr>
  </w:style>
  <w:style w:type="paragraph" w:customStyle="1" w:styleId="DHHSbullet2lastline">
    <w:name w:val="DHHS bullet 2 last line"/>
    <w:basedOn w:val="DHHSbullet2"/>
    <w:uiPriority w:val="99"/>
    <w:qFormat/>
    <w:rsid w:val="00CE7A69"/>
    <w:pPr>
      <w:numPr>
        <w:ilvl w:val="0"/>
        <w:numId w:val="0"/>
      </w:numPr>
      <w:spacing w:after="120"/>
      <w:ind w:left="567" w:hanging="283"/>
    </w:pPr>
  </w:style>
  <w:style w:type="paragraph" w:customStyle="1" w:styleId="DHHSbulletindentlastline">
    <w:name w:val="DHHS bullet indent last line"/>
    <w:basedOn w:val="DHHSbody"/>
    <w:uiPriority w:val="99"/>
    <w:rsid w:val="00CE7A69"/>
    <w:pPr>
      <w:ind w:left="680" w:hanging="283"/>
    </w:pPr>
  </w:style>
  <w:style w:type="character" w:customStyle="1" w:styleId="VHHSBAbodyChar">
    <w:name w:val="VHHSBA body Char"/>
    <w:basedOn w:val="DefaultParagraphFont"/>
    <w:link w:val="VHHSBAbody"/>
    <w:locked/>
    <w:rsid w:val="00CE7A69"/>
    <w:rPr>
      <w:rFonts w:ascii="Arial" w:eastAsia="Times" w:hAnsi="Arial" w:cs="Arial"/>
      <w:lang w:eastAsia="en-US"/>
    </w:rPr>
  </w:style>
  <w:style w:type="paragraph" w:customStyle="1" w:styleId="VHHSBAbody">
    <w:name w:val="VHHSBA body"/>
    <w:link w:val="VHHSBAbodyChar"/>
    <w:qFormat/>
    <w:rsid w:val="00CE7A69"/>
    <w:pPr>
      <w:spacing w:after="120" w:line="270" w:lineRule="atLeast"/>
    </w:pPr>
    <w:rPr>
      <w:rFonts w:ascii="Arial" w:eastAsia="Times" w:hAnsi="Arial" w:cs="Arial"/>
      <w:lang w:eastAsia="en-US"/>
    </w:rPr>
  </w:style>
  <w:style w:type="paragraph" w:customStyle="1" w:styleId="Numbers1">
    <w:name w:val="Numbers 1"/>
    <w:basedOn w:val="Normal"/>
    <w:uiPriority w:val="1"/>
    <w:qFormat/>
    <w:rsid w:val="00CE7A69"/>
    <w:pPr>
      <w:numPr>
        <w:numId w:val="27"/>
      </w:numPr>
      <w:spacing w:after="120" w:line="240" w:lineRule="auto"/>
      <w:jc w:val="both"/>
    </w:pPr>
    <w:rPr>
      <w:rFonts w:asciiTheme="minorHAnsi" w:eastAsiaTheme="minorHAnsi" w:hAnsiTheme="minorHAnsi"/>
      <w:color w:val="000000" w:themeColor="text1"/>
      <w:szCs w:val="20"/>
    </w:rPr>
  </w:style>
  <w:style w:type="paragraph" w:customStyle="1" w:styleId="Numbers2">
    <w:name w:val="Numbers 2"/>
    <w:basedOn w:val="Normal"/>
    <w:uiPriority w:val="1"/>
    <w:qFormat/>
    <w:rsid w:val="00CE7A69"/>
    <w:pPr>
      <w:numPr>
        <w:ilvl w:val="1"/>
        <w:numId w:val="27"/>
      </w:numPr>
      <w:spacing w:after="120" w:line="240" w:lineRule="auto"/>
      <w:jc w:val="both"/>
    </w:pPr>
    <w:rPr>
      <w:rFonts w:asciiTheme="minorHAnsi" w:eastAsiaTheme="minorHAnsi" w:hAnsiTheme="minorHAnsi"/>
      <w:color w:val="000000" w:themeColor="text1"/>
      <w:szCs w:val="20"/>
    </w:rPr>
  </w:style>
  <w:style w:type="paragraph" w:customStyle="1" w:styleId="Numbers3">
    <w:name w:val="Numbers 3"/>
    <w:basedOn w:val="Normal"/>
    <w:uiPriority w:val="1"/>
    <w:qFormat/>
    <w:rsid w:val="00CE7A69"/>
    <w:pPr>
      <w:numPr>
        <w:ilvl w:val="2"/>
        <w:numId w:val="27"/>
      </w:numPr>
      <w:spacing w:after="120" w:line="240" w:lineRule="auto"/>
      <w:jc w:val="both"/>
    </w:pPr>
    <w:rPr>
      <w:rFonts w:asciiTheme="minorHAnsi" w:eastAsiaTheme="minorHAnsi" w:hAnsiTheme="minorHAnsi"/>
      <w:color w:val="000000" w:themeColor="text1"/>
      <w:szCs w:val="20"/>
    </w:rPr>
  </w:style>
  <w:style w:type="paragraph" w:customStyle="1" w:styleId="Heading1numbered">
    <w:name w:val="Heading 1 numbered"/>
    <w:basedOn w:val="Heading1"/>
    <w:next w:val="NormalIndent"/>
    <w:uiPriority w:val="8"/>
    <w:qFormat/>
    <w:rsid w:val="00CE7A69"/>
    <w:pPr>
      <w:numPr>
        <w:ilvl w:val="2"/>
        <w:numId w:val="29"/>
      </w:numPr>
      <w:tabs>
        <w:tab w:val="num" w:pos="360"/>
      </w:tabs>
      <w:spacing w:before="600" w:after="240" w:line="264" w:lineRule="auto"/>
      <w:ind w:left="0" w:firstLine="0"/>
    </w:pPr>
    <w:rPr>
      <w:rFonts w:asciiTheme="majorHAnsi" w:eastAsiaTheme="majorEastAsia" w:hAnsiTheme="majorHAnsi" w:cstheme="majorBidi"/>
      <w:b/>
      <w:color w:val="201547"/>
      <w:spacing w:val="-1"/>
      <w:kern w:val="0"/>
      <w:szCs w:val="28"/>
      <w:lang w:eastAsia="en-AU"/>
    </w:rPr>
  </w:style>
  <w:style w:type="paragraph" w:customStyle="1" w:styleId="Heading2numbered">
    <w:name w:val="Heading 2 numbered"/>
    <w:basedOn w:val="Heading2"/>
    <w:next w:val="NormalIndent"/>
    <w:uiPriority w:val="8"/>
    <w:qFormat/>
    <w:rsid w:val="00CE7A69"/>
    <w:pPr>
      <w:numPr>
        <w:ilvl w:val="3"/>
        <w:numId w:val="29"/>
      </w:numPr>
      <w:tabs>
        <w:tab w:val="num" w:pos="360"/>
      </w:tabs>
      <w:spacing w:before="280" w:after="240" w:line="264" w:lineRule="auto"/>
      <w:ind w:left="0" w:firstLine="0"/>
    </w:pPr>
    <w:rPr>
      <w:rFonts w:asciiTheme="majorHAnsi" w:eastAsiaTheme="majorEastAsia" w:hAnsiTheme="majorHAnsi" w:cstheme="majorBidi"/>
      <w:bCs/>
      <w:color w:val="0074BC" w:themeColor="accent1"/>
      <w:spacing w:val="2"/>
      <w:szCs w:val="26"/>
      <w:lang w:eastAsia="en-AU"/>
    </w:rPr>
  </w:style>
  <w:style w:type="paragraph" w:customStyle="1" w:styleId="Heading3numbered">
    <w:name w:val="Heading 3 numbered"/>
    <w:basedOn w:val="Heading3"/>
    <w:next w:val="NormalIndent"/>
    <w:uiPriority w:val="8"/>
    <w:qFormat/>
    <w:rsid w:val="00CE7A69"/>
    <w:pPr>
      <w:numPr>
        <w:ilvl w:val="4"/>
        <w:numId w:val="29"/>
      </w:numPr>
      <w:tabs>
        <w:tab w:val="num" w:pos="360"/>
      </w:tabs>
      <w:spacing w:before="240" w:line="264" w:lineRule="auto"/>
      <w:ind w:left="0" w:firstLine="0"/>
    </w:pPr>
    <w:rPr>
      <w:rFonts w:asciiTheme="majorHAnsi" w:eastAsiaTheme="majorEastAsia" w:hAnsiTheme="majorHAnsi" w:cstheme="majorBidi"/>
      <w:color w:val="0074BC" w:themeColor="accent1"/>
      <w:spacing w:val="2"/>
      <w:sz w:val="22"/>
      <w:szCs w:val="22"/>
      <w:lang w:eastAsia="en-AU"/>
    </w:rPr>
  </w:style>
  <w:style w:type="paragraph" w:customStyle="1" w:styleId="Heading4numbered">
    <w:name w:val="Heading 4 numbered"/>
    <w:basedOn w:val="Heading4"/>
    <w:next w:val="NormalIndent"/>
    <w:uiPriority w:val="8"/>
    <w:qFormat/>
    <w:rsid w:val="00CE7A69"/>
    <w:pPr>
      <w:numPr>
        <w:ilvl w:val="5"/>
        <w:numId w:val="29"/>
      </w:numPr>
      <w:tabs>
        <w:tab w:val="num" w:pos="360"/>
      </w:tabs>
      <w:spacing w:before="200" w:after="0" w:line="264" w:lineRule="auto"/>
      <w:ind w:left="0" w:firstLine="0"/>
    </w:pPr>
    <w:rPr>
      <w:rFonts w:asciiTheme="majorHAnsi" w:eastAsiaTheme="majorEastAsia" w:hAnsiTheme="majorHAnsi" w:cstheme="majorBidi"/>
      <w:iCs/>
      <w:color w:val="53565A"/>
      <w:spacing w:val="2"/>
      <w:lang w:eastAsia="en-AU"/>
    </w:rPr>
  </w:style>
  <w:style w:type="paragraph" w:customStyle="1" w:styleId="Listnumindent2">
    <w:name w:val="List num indent 2"/>
    <w:basedOn w:val="Normal"/>
    <w:uiPriority w:val="9"/>
    <w:qFormat/>
    <w:rsid w:val="00CE7A69"/>
    <w:pPr>
      <w:numPr>
        <w:ilvl w:val="7"/>
        <w:numId w:val="29"/>
      </w:numPr>
      <w:spacing w:before="100" w:after="100" w:line="264" w:lineRule="auto"/>
      <w:contextualSpacing/>
    </w:pPr>
    <w:rPr>
      <w:rFonts w:asciiTheme="minorHAnsi" w:eastAsiaTheme="minorEastAsia" w:hAnsiTheme="minorHAnsi" w:cstheme="minorBidi"/>
      <w:spacing w:val="2"/>
      <w:sz w:val="20"/>
      <w:szCs w:val="20"/>
      <w:lang w:eastAsia="en-AU"/>
    </w:rPr>
  </w:style>
  <w:style w:type="paragraph" w:customStyle="1" w:styleId="Listnumindent">
    <w:name w:val="List num indent"/>
    <w:basedOn w:val="Normal"/>
    <w:uiPriority w:val="9"/>
    <w:qFormat/>
    <w:rsid w:val="00CE7A69"/>
    <w:pPr>
      <w:numPr>
        <w:ilvl w:val="6"/>
        <w:numId w:val="29"/>
      </w:numPr>
      <w:spacing w:before="100" w:after="100" w:line="264" w:lineRule="auto"/>
    </w:pPr>
    <w:rPr>
      <w:rFonts w:asciiTheme="minorHAnsi" w:eastAsiaTheme="minorEastAsia" w:hAnsiTheme="minorHAnsi" w:cstheme="minorBidi"/>
      <w:spacing w:val="2"/>
      <w:sz w:val="20"/>
      <w:szCs w:val="20"/>
      <w:lang w:eastAsia="en-AU"/>
    </w:rPr>
  </w:style>
  <w:style w:type="paragraph" w:customStyle="1" w:styleId="Listnum">
    <w:name w:val="List num"/>
    <w:basedOn w:val="Normal"/>
    <w:uiPriority w:val="1"/>
    <w:qFormat/>
    <w:rsid w:val="00CE7A69"/>
    <w:pPr>
      <w:numPr>
        <w:numId w:val="29"/>
      </w:numPr>
      <w:spacing w:before="160" w:after="100" w:line="264" w:lineRule="auto"/>
    </w:pPr>
    <w:rPr>
      <w:rFonts w:asciiTheme="minorHAnsi" w:eastAsiaTheme="minorEastAsia" w:hAnsiTheme="minorHAnsi" w:cstheme="minorBidi"/>
      <w:spacing w:val="2"/>
      <w:sz w:val="20"/>
      <w:szCs w:val="20"/>
      <w:lang w:eastAsia="en-AU"/>
    </w:rPr>
  </w:style>
  <w:style w:type="paragraph" w:customStyle="1" w:styleId="Listnum2">
    <w:name w:val="List num 2"/>
    <w:basedOn w:val="Normal"/>
    <w:uiPriority w:val="1"/>
    <w:qFormat/>
    <w:rsid w:val="00CE7A69"/>
    <w:pPr>
      <w:numPr>
        <w:ilvl w:val="1"/>
        <w:numId w:val="29"/>
      </w:numPr>
      <w:spacing w:before="160" w:after="100" w:line="264" w:lineRule="auto"/>
    </w:pPr>
    <w:rPr>
      <w:rFonts w:asciiTheme="minorHAnsi" w:eastAsiaTheme="minorEastAsia" w:hAnsiTheme="minorHAnsi" w:cstheme="minorBidi"/>
      <w:spacing w:val="2"/>
      <w:sz w:val="20"/>
      <w:szCs w:val="20"/>
      <w:lang w:eastAsia="en-AU"/>
    </w:rPr>
  </w:style>
  <w:style w:type="paragraph" w:customStyle="1" w:styleId="Numparaindent">
    <w:name w:val="Num para indent"/>
    <w:basedOn w:val="Normal"/>
    <w:uiPriority w:val="9"/>
    <w:qFormat/>
    <w:rsid w:val="00CE7A69"/>
    <w:pPr>
      <w:numPr>
        <w:ilvl w:val="8"/>
        <w:numId w:val="29"/>
      </w:numPr>
      <w:spacing w:before="160" w:after="100" w:line="264" w:lineRule="auto"/>
      <w:contextualSpacing/>
    </w:pPr>
    <w:rPr>
      <w:rFonts w:asciiTheme="minorHAnsi" w:eastAsiaTheme="minorEastAsia" w:hAnsiTheme="minorHAnsi" w:cstheme="minorBidi"/>
      <w:spacing w:val="2"/>
      <w:sz w:val="20"/>
      <w:szCs w:val="20"/>
      <w:lang w:eastAsia="en-AU"/>
    </w:rPr>
  </w:style>
  <w:style w:type="paragraph" w:customStyle="1" w:styleId="paragraph">
    <w:name w:val="paragraph"/>
    <w:basedOn w:val="Normal"/>
    <w:uiPriority w:val="99"/>
    <w:rsid w:val="00CE7A69"/>
    <w:pPr>
      <w:spacing w:before="100" w:beforeAutospacing="1" w:after="100" w:afterAutospacing="1" w:line="240" w:lineRule="auto"/>
    </w:pPr>
    <w:rPr>
      <w:rFonts w:ascii="Times New Roman" w:eastAsia="Times New Roman" w:hAnsi="Times New Roman" w:cstheme="minorBidi"/>
      <w:sz w:val="24"/>
      <w:szCs w:val="24"/>
      <w:lang w:eastAsia="en-AU"/>
    </w:rPr>
  </w:style>
  <w:style w:type="paragraph" w:customStyle="1" w:styleId="BCVHHSBAbullet1">
    <w:name w:val="(BC) VHHSBA bullet 1"/>
    <w:basedOn w:val="Normal"/>
    <w:uiPriority w:val="99"/>
    <w:qFormat/>
    <w:rsid w:val="00CE7A69"/>
    <w:pPr>
      <w:numPr>
        <w:numId w:val="31"/>
      </w:numPr>
      <w:spacing w:before="120" w:after="40" w:line="270" w:lineRule="atLeast"/>
    </w:pPr>
    <w:rPr>
      <w:rFonts w:ascii="Arial" w:eastAsia="Times" w:hAnsi="Arial"/>
      <w:sz w:val="20"/>
      <w:szCs w:val="20"/>
    </w:rPr>
  </w:style>
  <w:style w:type="paragraph" w:customStyle="1" w:styleId="Default">
    <w:name w:val="Default"/>
    <w:uiPriority w:val="99"/>
    <w:rsid w:val="00CE7A6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7A69"/>
    <w:rPr>
      <w:sz w:val="16"/>
      <w:szCs w:val="16"/>
    </w:rPr>
  </w:style>
  <w:style w:type="character" w:customStyle="1" w:styleId="HeaderChar">
    <w:name w:val="Header Char"/>
    <w:basedOn w:val="DefaultParagraphFont"/>
    <w:link w:val="Header"/>
    <w:uiPriority w:val="10"/>
    <w:rsid w:val="00CE7A69"/>
    <w:rPr>
      <w:rFonts w:ascii="Arial" w:hAnsi="Arial" w:cs="Arial"/>
      <w:sz w:val="18"/>
      <w:szCs w:val="18"/>
      <w:lang w:eastAsia="en-US"/>
    </w:rPr>
  </w:style>
  <w:style w:type="character" w:customStyle="1" w:styleId="FooterChar">
    <w:name w:val="Footer Char"/>
    <w:basedOn w:val="DefaultParagraphFont"/>
    <w:link w:val="Footer"/>
    <w:uiPriority w:val="8"/>
    <w:rsid w:val="00CE7A69"/>
    <w:rPr>
      <w:rFonts w:ascii="Arial" w:hAnsi="Arial" w:cs="Arial"/>
      <w:sz w:val="18"/>
      <w:szCs w:val="18"/>
      <w:lang w:eastAsia="en-US"/>
    </w:rPr>
  </w:style>
  <w:style w:type="character" w:customStyle="1" w:styleId="normaltextrun">
    <w:name w:val="normaltextrun"/>
    <w:basedOn w:val="DefaultParagraphFont"/>
    <w:rsid w:val="00CE7A69"/>
  </w:style>
  <w:style w:type="character" w:customStyle="1" w:styleId="eop">
    <w:name w:val="eop"/>
    <w:basedOn w:val="DefaultParagraphFont"/>
    <w:rsid w:val="00CE7A69"/>
  </w:style>
  <w:style w:type="numbering" w:customStyle="1" w:styleId="Numbers">
    <w:name w:val="Numbers"/>
    <w:uiPriority w:val="99"/>
    <w:rsid w:val="00CE7A69"/>
    <w:pPr>
      <w:numPr>
        <w:numId w:val="27"/>
      </w:numPr>
    </w:pPr>
  </w:style>
  <w:style w:type="numbering" w:customStyle="1" w:styleId="ZZNumbers">
    <w:name w:val="ZZ Numbers"/>
    <w:rsid w:val="00CE7A69"/>
    <w:pPr>
      <w:numPr>
        <w:numId w:val="35"/>
      </w:numPr>
    </w:pPr>
  </w:style>
  <w:style w:type="character" w:styleId="UnresolvedMention">
    <w:name w:val="Unresolved Mention"/>
    <w:basedOn w:val="DefaultParagraphFont"/>
    <w:uiPriority w:val="99"/>
    <w:semiHidden/>
    <w:unhideWhenUsed/>
    <w:rsid w:val="00CE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753466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tf.vic.gov.au/infrastructure-investment/asset-management-accountability-framework" TargetMode="External"/><Relationship Id="rId26" Type="http://schemas.openxmlformats.org/officeDocument/2006/relationships/hyperlink" Target="mailto:service@smarty.grants.com.au" TargetMode="External"/><Relationship Id="rId39" Type="http://schemas.openxmlformats.org/officeDocument/2006/relationships/hyperlink" Target="https://www.vhhsba.vic.gov.au/masterplanning" TargetMode="External"/><Relationship Id="rId21" Type="http://schemas.openxmlformats.org/officeDocument/2006/relationships/hyperlink" Target="https://www.vhhsba.vic.gov.au/health/hospitals/metropolitan-health-infrastructure-fund" TargetMode="External"/><Relationship Id="rId34" Type="http://schemas.openxmlformats.org/officeDocument/2006/relationships/hyperlink" Target="https://healthfacilityguidelines.com.au/" TargetMode="External"/><Relationship Id="rId42" Type="http://schemas.openxmlformats.org/officeDocument/2006/relationships/hyperlink" Target="https://www.dtf.vic.gov.au/infrastructure-investment/public-construction-policy-and-resources" TargetMode="External"/><Relationship Id="rId47" Type="http://schemas.openxmlformats.org/officeDocument/2006/relationships/hyperlink" Target="https://localjobsfirst.vic.gov.au/about/local-jobs-first" TargetMode="External"/><Relationship Id="rId50" Type="http://schemas.openxmlformats.org/officeDocument/2006/relationships/hyperlink" Target="https://www.legislation.gov.au/Details/C2017C00042" TargetMode="External"/><Relationship Id="rId55" Type="http://schemas.openxmlformats.org/officeDocument/2006/relationships/hyperlink" Target="https://www.vhhsba.vic.gov.au/health/hospitals/metropolitan-health-infrastructure-fund"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hhs.smartygrants.com.au/MHIF" TargetMode="External"/><Relationship Id="rId25" Type="http://schemas.openxmlformats.org/officeDocument/2006/relationships/hyperlink" Target="https://applicanthelp.smartygrants.com.au/help-guide-for-applicants/" TargetMode="External"/><Relationship Id="rId33" Type="http://schemas.openxmlformats.org/officeDocument/2006/relationships/hyperlink" Target="http://www.capital.health.vic.gov.au/" TargetMode="External"/><Relationship Id="rId38" Type="http://schemas.openxmlformats.org/officeDocument/2006/relationships/hyperlink" Target="https://www.vhhsba.vic.gov.au/resources/technical-guidelines" TargetMode="External"/><Relationship Id="rId46" Type="http://schemas.openxmlformats.org/officeDocument/2006/relationships/hyperlink" Target="https://www.dtf.vic.gov.au/investment-lifecycle-and-high-value-high-risk-guidelines/stage-1-business-cas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s://buyingfor.vic.gov.au/social-procurement-framework" TargetMode="External"/><Relationship Id="rId41" Type="http://schemas.openxmlformats.org/officeDocument/2006/relationships/hyperlink" Target="https://www.vhhsba.vic.gov.au/public-sector-residential-aged-care-services-interim-facility-design-guidelines" TargetMode="External"/><Relationship Id="rId54" Type="http://schemas.openxmlformats.org/officeDocument/2006/relationships/hyperlink" Target="mailto:Metropolitan%20Health%20Infrastructure%20F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vhhsba.vic.gov.au/health/hospitals/metropolitan-health-infrastructure-fund" TargetMode="External"/><Relationship Id="rId32" Type="http://schemas.openxmlformats.org/officeDocument/2006/relationships/hyperlink" Target="https://www2.health.vic.gov.au/hospitals-and-health-services/planning-infrastructure/medical-equipment" TargetMode="External"/><Relationship Id="rId37" Type="http://schemas.openxmlformats.org/officeDocument/2006/relationships/hyperlink" Target="https://www.vhhsba.vic.gov.au/resources/universal-design" TargetMode="External"/><Relationship Id="rId40" Type="http://schemas.openxmlformats.org/officeDocument/2006/relationships/hyperlink" Target="https://www.vhhsba.vic.gov.au/resources/design-guidelines" TargetMode="External"/><Relationship Id="rId45" Type="http://schemas.openxmlformats.org/officeDocument/2006/relationships/hyperlink" Target="https://www.dtf.vic.gov.au/infrastructure-investment/construction-supplier-register" TargetMode="External"/><Relationship Id="rId53" Type="http://schemas.openxmlformats.org/officeDocument/2006/relationships/hyperlink" Target="https://ncc.abcb.gov.au/"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mhif@dhhs.vic.gov.au" TargetMode="External"/><Relationship Id="rId28" Type="http://schemas.openxmlformats.org/officeDocument/2006/relationships/hyperlink" Target="http://www.capital.health.vic.gov.au" TargetMode="External"/><Relationship Id="rId36" Type="http://schemas.openxmlformats.org/officeDocument/2006/relationships/hyperlink" Target="https://www.vhhsba.vic.gov.au/resources/design-guidelines" TargetMode="External"/><Relationship Id="rId49" Type="http://schemas.openxmlformats.org/officeDocument/2006/relationships/hyperlink" Target="https://www.coronavirus.vic.gov.au/find-work-or-employees-fast-working-victoria" TargetMode="External"/><Relationship Id="rId57"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www.vhhsba.vic.gov.au/resources/asset-management" TargetMode="External"/><Relationship Id="rId31" Type="http://schemas.openxmlformats.org/officeDocument/2006/relationships/hyperlink" Target="https://www.coronavirus.vic.gov.au/find-work-or-employees-fast-working-victoria" TargetMode="External"/><Relationship Id="rId44" Type="http://schemas.openxmlformats.org/officeDocument/2006/relationships/hyperlink" Target="https://www.dtf.vic.gov.au/public-construction-policy-and-resources/practitioners-toolkit" TargetMode="External"/><Relationship Id="rId52" Type="http://schemas.openxmlformats.org/officeDocument/2006/relationships/hyperlink" Target="https://ablis.business.gov.au/service/ag/australian-government-building-and-construction-workplace-health-and-safety-accreditation-scheme/3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dhhs.smartygrants.com.au/MHIF" TargetMode="External"/><Relationship Id="rId27" Type="http://schemas.openxmlformats.org/officeDocument/2006/relationships/hyperlink" Target="http://www.capital.health.vic.gov.au" TargetMode="External"/><Relationship Id="rId30" Type="http://schemas.openxmlformats.org/officeDocument/2006/relationships/hyperlink" Target="https://healthsharevic.org.au/" TargetMode="External"/><Relationship Id="rId35" Type="http://schemas.openxmlformats.org/officeDocument/2006/relationships/hyperlink" Target="https://providers.dhhs.vic.gov.au/fire-risk-management-procedures-and-guidelines" TargetMode="External"/><Relationship Id="rId43" Type="http://schemas.openxmlformats.org/officeDocument/2006/relationships/hyperlink" Target="https://www.dtf.vic.gov.au/public-construction-policy-and-resources/ministerial-directions-and-instructions-public-construction-procurement" TargetMode="External"/><Relationship Id="rId48" Type="http://schemas.openxmlformats.org/officeDocument/2006/relationships/hyperlink" Target="https://localjobsfirst.vic.gov.au/agency-guidance/major-project-skills-guarantee" TargetMode="External"/><Relationship Id="rId56" Type="http://schemas.openxmlformats.org/officeDocument/2006/relationships/header" Target="header4.xml"/><Relationship Id="rId8" Type="http://schemas.openxmlformats.org/officeDocument/2006/relationships/footnotes" Target="footnotes.xml"/><Relationship Id="rId51" Type="http://schemas.openxmlformats.org/officeDocument/2006/relationships/hyperlink" Target="https://www.legislation.gov.au/Details/F2017C00125"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2" ma:contentTypeDescription="Create a new document." ma:contentTypeScope="" ma:versionID="9fd29d4ec68490d70315562d78b81551">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345bc2f811012c832abda87255dea9f9"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d008163-efe8-41c9-8a6e-39d389fb6c27">
      <UserInfo>
        <DisplayName>Crystal James (Health)</DisplayName>
        <AccountId>33</AccountId>
        <AccountType/>
      </UserInfo>
      <UserInfo>
        <DisplayName>William Chamberlain (DFFH)</DisplayName>
        <AccountId>69</AccountId>
        <AccountType/>
      </UserInfo>
      <UserInfo>
        <DisplayName>Sarah Hooton (Health)</DisplayName>
        <AccountId>34</AccountId>
        <AccountType/>
      </UserInfo>
      <UserInfo>
        <DisplayName>Rina Sherry (DFFH)</DisplayName>
        <AccountId>58</AccountId>
        <AccountType/>
      </UserInfo>
      <UserInfo>
        <DisplayName>Bernie Ezeokoli (DFFH)</DisplayName>
        <AccountId>70</AccountId>
        <AccountType/>
      </UserInfo>
      <UserInfo>
        <DisplayName>Barbra Golde (DHHS)</DisplayName>
        <AccountId>30</AccountId>
        <AccountType/>
      </UserInfo>
      <UserInfo>
        <DisplayName>Barbara Mitrevski (Health)</DisplayName>
        <AccountId>118</AccountId>
        <AccountType/>
      </UserInfo>
    </SharedWithUsers>
  </documentManagement>
</p:properties>
</file>

<file path=customXml/itemProps1.xml><?xml version="1.0" encoding="utf-8"?>
<ds:datastoreItem xmlns:ds="http://schemas.openxmlformats.org/officeDocument/2006/customXml" ds:itemID="{9CC0322C-21B1-4A15-BC8A-5EB86B60F661}">
  <ds:schemaRefs>
    <ds:schemaRef ds:uri="http://schemas.microsoft.com/sharepoint/v3/contenttype/forms"/>
  </ds:schemaRefs>
</ds:datastoreItem>
</file>

<file path=customXml/itemProps2.xml><?xml version="1.0" encoding="utf-8"?>
<ds:datastoreItem xmlns:ds="http://schemas.openxmlformats.org/officeDocument/2006/customXml" ds:itemID="{E728E91F-7A84-48D9-91B7-2E3F2351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800B4-58FB-49FE-AD07-AE090602C824}">
  <ds:schemaRefs>
    <ds:schemaRef ds:uri="9d008163-efe8-41c9-8a6e-39d389fb6c27"/>
    <ds:schemaRef ds:uri="http://purl.org/dc/elements/1.1/"/>
    <ds:schemaRef ds:uri="http://schemas.microsoft.com/office/2006/metadata/properties"/>
    <ds:schemaRef ds:uri="add73ec2-c5fa-4fd3-8424-81af2714d9e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5606</Words>
  <Characters>31958</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2020-21 MHIF guidelines</vt:lpstr>
    </vt:vector>
  </TitlesOfParts>
  <Company>Victorian Health and Human Services Building Authority</Company>
  <LinksUpToDate>false</LinksUpToDate>
  <CharactersWithSpaces>37490</CharactersWithSpaces>
  <SharedDoc>false</SharedDoc>
  <HyperlinkBase/>
  <HLinks>
    <vt:vector size="426" baseType="variant">
      <vt:variant>
        <vt:i4>7405628</vt:i4>
      </vt:variant>
      <vt:variant>
        <vt:i4>315</vt:i4>
      </vt:variant>
      <vt:variant>
        <vt:i4>0</vt:i4>
      </vt:variant>
      <vt:variant>
        <vt:i4>5</vt:i4>
      </vt:variant>
      <vt:variant>
        <vt:lpwstr>https://www.vhhsba.vic.gov.au/health/hospitals/metropolitan-health-infrastructure-fund</vt:lpwstr>
      </vt:variant>
      <vt:variant>
        <vt:lpwstr/>
      </vt:variant>
      <vt:variant>
        <vt:i4>5767253</vt:i4>
      </vt:variant>
      <vt:variant>
        <vt:i4>312</vt:i4>
      </vt:variant>
      <vt:variant>
        <vt:i4>0</vt:i4>
      </vt:variant>
      <vt:variant>
        <vt:i4>5</vt:i4>
      </vt:variant>
      <vt:variant>
        <vt:lpwstr>mailto:Metropolitan%20Health%20Infrastructure%20Fund</vt:lpwstr>
      </vt:variant>
      <vt:variant>
        <vt:lpwstr/>
      </vt:variant>
      <vt:variant>
        <vt:i4>196693</vt:i4>
      </vt:variant>
      <vt:variant>
        <vt:i4>309</vt:i4>
      </vt:variant>
      <vt:variant>
        <vt:i4>0</vt:i4>
      </vt:variant>
      <vt:variant>
        <vt:i4>5</vt:i4>
      </vt:variant>
      <vt:variant>
        <vt:lpwstr>https://ncc.abcb.gov.au/</vt:lpwstr>
      </vt:variant>
      <vt:variant>
        <vt:lpwstr/>
      </vt:variant>
      <vt:variant>
        <vt:i4>1507328</vt:i4>
      </vt:variant>
      <vt:variant>
        <vt:i4>306</vt:i4>
      </vt:variant>
      <vt:variant>
        <vt:i4>0</vt:i4>
      </vt:variant>
      <vt:variant>
        <vt:i4>5</vt:i4>
      </vt:variant>
      <vt:variant>
        <vt:lpwstr>https://ablis.business.gov.au/service/ag/australian-government-building-and-construction-workplace-health-and-safety-accreditation-scheme/301</vt:lpwstr>
      </vt:variant>
      <vt:variant>
        <vt:lpwstr/>
      </vt:variant>
      <vt:variant>
        <vt:i4>7733284</vt:i4>
      </vt:variant>
      <vt:variant>
        <vt:i4>303</vt:i4>
      </vt:variant>
      <vt:variant>
        <vt:i4>0</vt:i4>
      </vt:variant>
      <vt:variant>
        <vt:i4>5</vt:i4>
      </vt:variant>
      <vt:variant>
        <vt:lpwstr>https://www.legislation.gov.au/Details/F2017C00125</vt:lpwstr>
      </vt:variant>
      <vt:variant>
        <vt:lpwstr/>
      </vt:variant>
      <vt:variant>
        <vt:i4>7667746</vt:i4>
      </vt:variant>
      <vt:variant>
        <vt:i4>300</vt:i4>
      </vt:variant>
      <vt:variant>
        <vt:i4>0</vt:i4>
      </vt:variant>
      <vt:variant>
        <vt:i4>5</vt:i4>
      </vt:variant>
      <vt:variant>
        <vt:lpwstr>https://www.legislation.gov.au/Details/C2017C00042</vt:lpwstr>
      </vt:variant>
      <vt:variant>
        <vt:lpwstr/>
      </vt:variant>
      <vt:variant>
        <vt:i4>3538985</vt:i4>
      </vt:variant>
      <vt:variant>
        <vt:i4>297</vt:i4>
      </vt:variant>
      <vt:variant>
        <vt:i4>0</vt:i4>
      </vt:variant>
      <vt:variant>
        <vt:i4>5</vt:i4>
      </vt:variant>
      <vt:variant>
        <vt:lpwstr>https://www.coronavirus.vic.gov.au/find-work-or-employees-fast-working-victoria</vt:lpwstr>
      </vt:variant>
      <vt:variant>
        <vt:lpwstr/>
      </vt:variant>
      <vt:variant>
        <vt:i4>1638404</vt:i4>
      </vt:variant>
      <vt:variant>
        <vt:i4>294</vt:i4>
      </vt:variant>
      <vt:variant>
        <vt:i4>0</vt:i4>
      </vt:variant>
      <vt:variant>
        <vt:i4>5</vt:i4>
      </vt:variant>
      <vt:variant>
        <vt:lpwstr>https://localjobsfirst.vic.gov.au/agency-guidance/major-project-skills-guarantee</vt:lpwstr>
      </vt:variant>
      <vt:variant>
        <vt:lpwstr/>
      </vt:variant>
      <vt:variant>
        <vt:i4>5898334</vt:i4>
      </vt:variant>
      <vt:variant>
        <vt:i4>291</vt:i4>
      </vt:variant>
      <vt:variant>
        <vt:i4>0</vt:i4>
      </vt:variant>
      <vt:variant>
        <vt:i4>5</vt:i4>
      </vt:variant>
      <vt:variant>
        <vt:lpwstr>https://localjobsfirst.vic.gov.au/about/local-jobs-first</vt:lpwstr>
      </vt:variant>
      <vt:variant>
        <vt:lpwstr/>
      </vt:variant>
      <vt:variant>
        <vt:i4>4915292</vt:i4>
      </vt:variant>
      <vt:variant>
        <vt:i4>288</vt:i4>
      </vt:variant>
      <vt:variant>
        <vt:i4>0</vt:i4>
      </vt:variant>
      <vt:variant>
        <vt:i4>5</vt:i4>
      </vt:variant>
      <vt:variant>
        <vt:lpwstr>https://www.dtf.vic.gov.au/investment-lifecycle-and-high-value-high-risk-guidelines/stage-1-business-case</vt:lpwstr>
      </vt:variant>
      <vt:variant>
        <vt:lpwstr/>
      </vt:variant>
      <vt:variant>
        <vt:i4>7078003</vt:i4>
      </vt:variant>
      <vt:variant>
        <vt:i4>285</vt:i4>
      </vt:variant>
      <vt:variant>
        <vt:i4>0</vt:i4>
      </vt:variant>
      <vt:variant>
        <vt:i4>5</vt:i4>
      </vt:variant>
      <vt:variant>
        <vt:lpwstr>https://www.dtf.vic.gov.au/infrastructure-investment/construction-supplier-register</vt:lpwstr>
      </vt:variant>
      <vt:variant>
        <vt:lpwstr/>
      </vt:variant>
      <vt:variant>
        <vt:i4>5505102</vt:i4>
      </vt:variant>
      <vt:variant>
        <vt:i4>282</vt:i4>
      </vt:variant>
      <vt:variant>
        <vt:i4>0</vt:i4>
      </vt:variant>
      <vt:variant>
        <vt:i4>5</vt:i4>
      </vt:variant>
      <vt:variant>
        <vt:lpwstr>https://www.dtf.vic.gov.au/public-construction-policy-and-resources/practitioners-toolkit</vt:lpwstr>
      </vt:variant>
      <vt:variant>
        <vt:lpwstr/>
      </vt:variant>
      <vt:variant>
        <vt:i4>3407979</vt:i4>
      </vt:variant>
      <vt:variant>
        <vt:i4>279</vt:i4>
      </vt:variant>
      <vt:variant>
        <vt:i4>0</vt:i4>
      </vt:variant>
      <vt:variant>
        <vt:i4>5</vt:i4>
      </vt:variant>
      <vt:variant>
        <vt:lpwstr>https://www.dtf.vic.gov.au/public-construction-policy-and-resources/ministerial-directions-and-instructions-public-construction-procurement</vt:lpwstr>
      </vt:variant>
      <vt:variant>
        <vt:lpwstr/>
      </vt:variant>
      <vt:variant>
        <vt:i4>1769483</vt:i4>
      </vt:variant>
      <vt:variant>
        <vt:i4>276</vt:i4>
      </vt:variant>
      <vt:variant>
        <vt:i4>0</vt:i4>
      </vt:variant>
      <vt:variant>
        <vt:i4>5</vt:i4>
      </vt:variant>
      <vt:variant>
        <vt:lpwstr>https://www.dtf.vic.gov.au/infrastructure-investment/public-construction-policy-and-resources</vt:lpwstr>
      </vt:variant>
      <vt:variant>
        <vt:lpwstr/>
      </vt:variant>
      <vt:variant>
        <vt:i4>655438</vt:i4>
      </vt:variant>
      <vt:variant>
        <vt:i4>273</vt:i4>
      </vt:variant>
      <vt:variant>
        <vt:i4>0</vt:i4>
      </vt:variant>
      <vt:variant>
        <vt:i4>5</vt:i4>
      </vt:variant>
      <vt:variant>
        <vt:lpwstr>https://www.vhhsba.vic.gov.au/public-sector-residential-aged-care-services-interim-facility-design-guidelines</vt:lpwstr>
      </vt:variant>
      <vt:variant>
        <vt:lpwstr/>
      </vt:variant>
      <vt:variant>
        <vt:i4>5177419</vt:i4>
      </vt:variant>
      <vt:variant>
        <vt:i4>270</vt:i4>
      </vt:variant>
      <vt:variant>
        <vt:i4>0</vt:i4>
      </vt:variant>
      <vt:variant>
        <vt:i4>5</vt:i4>
      </vt:variant>
      <vt:variant>
        <vt:lpwstr>https://www.vhhsba.vic.gov.au/resources/design-guidelines</vt:lpwstr>
      </vt:variant>
      <vt:variant>
        <vt:lpwstr/>
      </vt:variant>
      <vt:variant>
        <vt:i4>1245195</vt:i4>
      </vt:variant>
      <vt:variant>
        <vt:i4>267</vt:i4>
      </vt:variant>
      <vt:variant>
        <vt:i4>0</vt:i4>
      </vt:variant>
      <vt:variant>
        <vt:i4>5</vt:i4>
      </vt:variant>
      <vt:variant>
        <vt:lpwstr>https://www.vhhsba.vic.gov.au/masterplanning</vt:lpwstr>
      </vt:variant>
      <vt:variant>
        <vt:lpwstr/>
      </vt:variant>
      <vt:variant>
        <vt:i4>131092</vt:i4>
      </vt:variant>
      <vt:variant>
        <vt:i4>264</vt:i4>
      </vt:variant>
      <vt:variant>
        <vt:i4>0</vt:i4>
      </vt:variant>
      <vt:variant>
        <vt:i4>5</vt:i4>
      </vt:variant>
      <vt:variant>
        <vt:lpwstr>https://www.vhhsba.vic.gov.au/resources/technical-guidelines</vt:lpwstr>
      </vt:variant>
      <vt:variant>
        <vt:lpwstr/>
      </vt:variant>
      <vt:variant>
        <vt:i4>917523</vt:i4>
      </vt:variant>
      <vt:variant>
        <vt:i4>261</vt:i4>
      </vt:variant>
      <vt:variant>
        <vt:i4>0</vt:i4>
      </vt:variant>
      <vt:variant>
        <vt:i4>5</vt:i4>
      </vt:variant>
      <vt:variant>
        <vt:lpwstr>https://www.vhhsba.vic.gov.au/resources/universal-design</vt:lpwstr>
      </vt:variant>
      <vt:variant>
        <vt:lpwstr/>
      </vt:variant>
      <vt:variant>
        <vt:i4>5177419</vt:i4>
      </vt:variant>
      <vt:variant>
        <vt:i4>258</vt:i4>
      </vt:variant>
      <vt:variant>
        <vt:i4>0</vt:i4>
      </vt:variant>
      <vt:variant>
        <vt:i4>5</vt:i4>
      </vt:variant>
      <vt:variant>
        <vt:lpwstr>https://www.vhhsba.vic.gov.au/resources/design-guidelines</vt:lpwstr>
      </vt:variant>
      <vt:variant>
        <vt:lpwstr/>
      </vt:variant>
      <vt:variant>
        <vt:i4>4980758</vt:i4>
      </vt:variant>
      <vt:variant>
        <vt:i4>255</vt:i4>
      </vt:variant>
      <vt:variant>
        <vt:i4>0</vt:i4>
      </vt:variant>
      <vt:variant>
        <vt:i4>5</vt:i4>
      </vt:variant>
      <vt:variant>
        <vt:lpwstr>https://providers.dhhs.vic.gov.au/fire-risk-management-procedures-and-guidelines</vt:lpwstr>
      </vt:variant>
      <vt:variant>
        <vt:lpwstr/>
      </vt:variant>
      <vt:variant>
        <vt:i4>4718685</vt:i4>
      </vt:variant>
      <vt:variant>
        <vt:i4>252</vt:i4>
      </vt:variant>
      <vt:variant>
        <vt:i4>0</vt:i4>
      </vt:variant>
      <vt:variant>
        <vt:i4>5</vt:i4>
      </vt:variant>
      <vt:variant>
        <vt:lpwstr>https://healthfacilityguidelines.com.au/</vt:lpwstr>
      </vt:variant>
      <vt:variant>
        <vt:lpwstr/>
      </vt:variant>
      <vt:variant>
        <vt:i4>19</vt:i4>
      </vt:variant>
      <vt:variant>
        <vt:i4>249</vt:i4>
      </vt:variant>
      <vt:variant>
        <vt:i4>0</vt:i4>
      </vt:variant>
      <vt:variant>
        <vt:i4>5</vt:i4>
      </vt:variant>
      <vt:variant>
        <vt:lpwstr>http://www.capital.health.vic.gov.au/</vt:lpwstr>
      </vt:variant>
      <vt:variant>
        <vt:lpwstr/>
      </vt:variant>
      <vt:variant>
        <vt:i4>6750334</vt:i4>
      </vt:variant>
      <vt:variant>
        <vt:i4>246</vt:i4>
      </vt:variant>
      <vt:variant>
        <vt:i4>0</vt:i4>
      </vt:variant>
      <vt:variant>
        <vt:i4>5</vt:i4>
      </vt:variant>
      <vt:variant>
        <vt:lpwstr>https://www2.health.vic.gov.au/hospitals-and-health-services/planning-infrastructure/medical-equipment</vt:lpwstr>
      </vt:variant>
      <vt:variant>
        <vt:lpwstr/>
      </vt:variant>
      <vt:variant>
        <vt:i4>3538985</vt:i4>
      </vt:variant>
      <vt:variant>
        <vt:i4>243</vt:i4>
      </vt:variant>
      <vt:variant>
        <vt:i4>0</vt:i4>
      </vt:variant>
      <vt:variant>
        <vt:i4>5</vt:i4>
      </vt:variant>
      <vt:variant>
        <vt:lpwstr>https://www.coronavirus.vic.gov.au/find-work-or-employees-fast-working-victoria</vt:lpwstr>
      </vt:variant>
      <vt:variant>
        <vt:lpwstr/>
      </vt:variant>
      <vt:variant>
        <vt:i4>3735588</vt:i4>
      </vt:variant>
      <vt:variant>
        <vt:i4>240</vt:i4>
      </vt:variant>
      <vt:variant>
        <vt:i4>0</vt:i4>
      </vt:variant>
      <vt:variant>
        <vt:i4>5</vt:i4>
      </vt:variant>
      <vt:variant>
        <vt:lpwstr>https://healthsharevic.org.au/</vt:lpwstr>
      </vt:variant>
      <vt:variant>
        <vt:lpwstr/>
      </vt:variant>
      <vt:variant>
        <vt:i4>5439506</vt:i4>
      </vt:variant>
      <vt:variant>
        <vt:i4>237</vt:i4>
      </vt:variant>
      <vt:variant>
        <vt:i4>0</vt:i4>
      </vt:variant>
      <vt:variant>
        <vt:i4>5</vt:i4>
      </vt:variant>
      <vt:variant>
        <vt:lpwstr>https://buyingfor.vic.gov.au/social-procurement-framework</vt:lpwstr>
      </vt:variant>
      <vt:variant>
        <vt:lpwstr/>
      </vt:variant>
      <vt:variant>
        <vt:i4>19</vt:i4>
      </vt:variant>
      <vt:variant>
        <vt:i4>234</vt:i4>
      </vt:variant>
      <vt:variant>
        <vt:i4>0</vt:i4>
      </vt:variant>
      <vt:variant>
        <vt:i4>5</vt:i4>
      </vt:variant>
      <vt:variant>
        <vt:lpwstr>http://www.capital.health.vic.gov.au/</vt:lpwstr>
      </vt:variant>
      <vt:variant>
        <vt:lpwstr/>
      </vt:variant>
      <vt:variant>
        <vt:i4>19</vt:i4>
      </vt:variant>
      <vt:variant>
        <vt:i4>231</vt:i4>
      </vt:variant>
      <vt:variant>
        <vt:i4>0</vt:i4>
      </vt:variant>
      <vt:variant>
        <vt:i4>5</vt:i4>
      </vt:variant>
      <vt:variant>
        <vt:lpwstr>http://www.capital.health.vic.gov.au/</vt:lpwstr>
      </vt:variant>
      <vt:variant>
        <vt:lpwstr/>
      </vt:variant>
      <vt:variant>
        <vt:i4>2555905</vt:i4>
      </vt:variant>
      <vt:variant>
        <vt:i4>228</vt:i4>
      </vt:variant>
      <vt:variant>
        <vt:i4>0</vt:i4>
      </vt:variant>
      <vt:variant>
        <vt:i4>5</vt:i4>
      </vt:variant>
      <vt:variant>
        <vt:lpwstr>mailto:service@smarty.grants.com.au</vt:lpwstr>
      </vt:variant>
      <vt:variant>
        <vt:lpwstr/>
      </vt:variant>
      <vt:variant>
        <vt:i4>4915203</vt:i4>
      </vt:variant>
      <vt:variant>
        <vt:i4>225</vt:i4>
      </vt:variant>
      <vt:variant>
        <vt:i4>0</vt:i4>
      </vt:variant>
      <vt:variant>
        <vt:i4>5</vt:i4>
      </vt:variant>
      <vt:variant>
        <vt:lpwstr>https://applicanthelp.smartygrants.com.au/help-guide-for-applicants/</vt:lpwstr>
      </vt:variant>
      <vt:variant>
        <vt:lpwstr/>
      </vt:variant>
      <vt:variant>
        <vt:i4>7405628</vt:i4>
      </vt:variant>
      <vt:variant>
        <vt:i4>222</vt:i4>
      </vt:variant>
      <vt:variant>
        <vt:i4>0</vt:i4>
      </vt:variant>
      <vt:variant>
        <vt:i4>5</vt:i4>
      </vt:variant>
      <vt:variant>
        <vt:lpwstr>https://www.vhhsba.vic.gov.au/health/hospitals/metropolitan-health-infrastructure-fund</vt:lpwstr>
      </vt:variant>
      <vt:variant>
        <vt:lpwstr/>
      </vt:variant>
      <vt:variant>
        <vt:i4>5767264</vt:i4>
      </vt:variant>
      <vt:variant>
        <vt:i4>219</vt:i4>
      </vt:variant>
      <vt:variant>
        <vt:i4>0</vt:i4>
      </vt:variant>
      <vt:variant>
        <vt:i4>5</vt:i4>
      </vt:variant>
      <vt:variant>
        <vt:lpwstr>mailto:mhif@dhhs.vic.gov.au</vt:lpwstr>
      </vt:variant>
      <vt:variant>
        <vt:lpwstr/>
      </vt:variant>
      <vt:variant>
        <vt:i4>67</vt:i4>
      </vt:variant>
      <vt:variant>
        <vt:i4>216</vt:i4>
      </vt:variant>
      <vt:variant>
        <vt:i4>0</vt:i4>
      </vt:variant>
      <vt:variant>
        <vt:i4>5</vt:i4>
      </vt:variant>
      <vt:variant>
        <vt:lpwstr>https://dhhs.smartygrants.com.au/MHIF</vt:lpwstr>
      </vt:variant>
      <vt:variant>
        <vt:lpwstr/>
      </vt:variant>
      <vt:variant>
        <vt:i4>7405628</vt:i4>
      </vt:variant>
      <vt:variant>
        <vt:i4>213</vt:i4>
      </vt:variant>
      <vt:variant>
        <vt:i4>0</vt:i4>
      </vt:variant>
      <vt:variant>
        <vt:i4>5</vt:i4>
      </vt:variant>
      <vt:variant>
        <vt:lpwstr>https://www.vhhsba.vic.gov.au/health/hospitals/metropolitan-health-infrastructure-fund</vt:lpwstr>
      </vt:variant>
      <vt:variant>
        <vt:lpwstr/>
      </vt:variant>
      <vt:variant>
        <vt:i4>327684</vt:i4>
      </vt:variant>
      <vt:variant>
        <vt:i4>210</vt:i4>
      </vt:variant>
      <vt:variant>
        <vt:i4>0</vt:i4>
      </vt:variant>
      <vt:variant>
        <vt:i4>5</vt:i4>
      </vt:variant>
      <vt:variant>
        <vt:lpwstr>https://www.vhhsba.vic.gov.au/resources/asset-management</vt:lpwstr>
      </vt:variant>
      <vt:variant>
        <vt:lpwstr/>
      </vt:variant>
      <vt:variant>
        <vt:i4>8060967</vt:i4>
      </vt:variant>
      <vt:variant>
        <vt:i4>207</vt:i4>
      </vt:variant>
      <vt:variant>
        <vt:i4>0</vt:i4>
      </vt:variant>
      <vt:variant>
        <vt:i4>5</vt:i4>
      </vt:variant>
      <vt:variant>
        <vt:lpwstr>https://www.dtf.vic.gov.au/infrastructure-investment/asset-management-accountability-framework</vt:lpwstr>
      </vt:variant>
      <vt:variant>
        <vt:lpwstr/>
      </vt:variant>
      <vt:variant>
        <vt:i4>67</vt:i4>
      </vt:variant>
      <vt:variant>
        <vt:i4>201</vt:i4>
      </vt:variant>
      <vt:variant>
        <vt:i4>0</vt:i4>
      </vt:variant>
      <vt:variant>
        <vt:i4>5</vt:i4>
      </vt:variant>
      <vt:variant>
        <vt:lpwstr>https://dhhs.smartygrants.com.au/MHIF</vt:lpwstr>
      </vt:variant>
      <vt:variant>
        <vt:lpwstr/>
      </vt:variant>
      <vt:variant>
        <vt:i4>1048633</vt:i4>
      </vt:variant>
      <vt:variant>
        <vt:i4>194</vt:i4>
      </vt:variant>
      <vt:variant>
        <vt:i4>0</vt:i4>
      </vt:variant>
      <vt:variant>
        <vt:i4>5</vt:i4>
      </vt:variant>
      <vt:variant>
        <vt:lpwstr/>
      </vt:variant>
      <vt:variant>
        <vt:lpwstr>_Toc64016597</vt:lpwstr>
      </vt:variant>
      <vt:variant>
        <vt:i4>1114169</vt:i4>
      </vt:variant>
      <vt:variant>
        <vt:i4>188</vt:i4>
      </vt:variant>
      <vt:variant>
        <vt:i4>0</vt:i4>
      </vt:variant>
      <vt:variant>
        <vt:i4>5</vt:i4>
      </vt:variant>
      <vt:variant>
        <vt:lpwstr/>
      </vt:variant>
      <vt:variant>
        <vt:lpwstr>_Toc64016596</vt:lpwstr>
      </vt:variant>
      <vt:variant>
        <vt:i4>1179705</vt:i4>
      </vt:variant>
      <vt:variant>
        <vt:i4>182</vt:i4>
      </vt:variant>
      <vt:variant>
        <vt:i4>0</vt:i4>
      </vt:variant>
      <vt:variant>
        <vt:i4>5</vt:i4>
      </vt:variant>
      <vt:variant>
        <vt:lpwstr/>
      </vt:variant>
      <vt:variant>
        <vt:lpwstr>_Toc64016595</vt:lpwstr>
      </vt:variant>
      <vt:variant>
        <vt:i4>1245241</vt:i4>
      </vt:variant>
      <vt:variant>
        <vt:i4>176</vt:i4>
      </vt:variant>
      <vt:variant>
        <vt:i4>0</vt:i4>
      </vt:variant>
      <vt:variant>
        <vt:i4>5</vt:i4>
      </vt:variant>
      <vt:variant>
        <vt:lpwstr/>
      </vt:variant>
      <vt:variant>
        <vt:lpwstr>_Toc64016594</vt:lpwstr>
      </vt:variant>
      <vt:variant>
        <vt:i4>1310777</vt:i4>
      </vt:variant>
      <vt:variant>
        <vt:i4>170</vt:i4>
      </vt:variant>
      <vt:variant>
        <vt:i4>0</vt:i4>
      </vt:variant>
      <vt:variant>
        <vt:i4>5</vt:i4>
      </vt:variant>
      <vt:variant>
        <vt:lpwstr/>
      </vt:variant>
      <vt:variant>
        <vt:lpwstr>_Toc64016593</vt:lpwstr>
      </vt:variant>
      <vt:variant>
        <vt:i4>1376313</vt:i4>
      </vt:variant>
      <vt:variant>
        <vt:i4>164</vt:i4>
      </vt:variant>
      <vt:variant>
        <vt:i4>0</vt:i4>
      </vt:variant>
      <vt:variant>
        <vt:i4>5</vt:i4>
      </vt:variant>
      <vt:variant>
        <vt:lpwstr/>
      </vt:variant>
      <vt:variant>
        <vt:lpwstr>_Toc64016592</vt:lpwstr>
      </vt:variant>
      <vt:variant>
        <vt:i4>1441849</vt:i4>
      </vt:variant>
      <vt:variant>
        <vt:i4>158</vt:i4>
      </vt:variant>
      <vt:variant>
        <vt:i4>0</vt:i4>
      </vt:variant>
      <vt:variant>
        <vt:i4>5</vt:i4>
      </vt:variant>
      <vt:variant>
        <vt:lpwstr/>
      </vt:variant>
      <vt:variant>
        <vt:lpwstr>_Toc64016591</vt:lpwstr>
      </vt:variant>
      <vt:variant>
        <vt:i4>1507385</vt:i4>
      </vt:variant>
      <vt:variant>
        <vt:i4>152</vt:i4>
      </vt:variant>
      <vt:variant>
        <vt:i4>0</vt:i4>
      </vt:variant>
      <vt:variant>
        <vt:i4>5</vt:i4>
      </vt:variant>
      <vt:variant>
        <vt:lpwstr/>
      </vt:variant>
      <vt:variant>
        <vt:lpwstr>_Toc64016590</vt:lpwstr>
      </vt:variant>
      <vt:variant>
        <vt:i4>1966136</vt:i4>
      </vt:variant>
      <vt:variant>
        <vt:i4>146</vt:i4>
      </vt:variant>
      <vt:variant>
        <vt:i4>0</vt:i4>
      </vt:variant>
      <vt:variant>
        <vt:i4>5</vt:i4>
      </vt:variant>
      <vt:variant>
        <vt:lpwstr/>
      </vt:variant>
      <vt:variant>
        <vt:lpwstr>_Toc64016589</vt:lpwstr>
      </vt:variant>
      <vt:variant>
        <vt:i4>2031672</vt:i4>
      </vt:variant>
      <vt:variant>
        <vt:i4>140</vt:i4>
      </vt:variant>
      <vt:variant>
        <vt:i4>0</vt:i4>
      </vt:variant>
      <vt:variant>
        <vt:i4>5</vt:i4>
      </vt:variant>
      <vt:variant>
        <vt:lpwstr/>
      </vt:variant>
      <vt:variant>
        <vt:lpwstr>_Toc64016588</vt:lpwstr>
      </vt:variant>
      <vt:variant>
        <vt:i4>1048632</vt:i4>
      </vt:variant>
      <vt:variant>
        <vt:i4>134</vt:i4>
      </vt:variant>
      <vt:variant>
        <vt:i4>0</vt:i4>
      </vt:variant>
      <vt:variant>
        <vt:i4>5</vt:i4>
      </vt:variant>
      <vt:variant>
        <vt:lpwstr/>
      </vt:variant>
      <vt:variant>
        <vt:lpwstr>_Toc64016587</vt:lpwstr>
      </vt:variant>
      <vt:variant>
        <vt:i4>1114168</vt:i4>
      </vt:variant>
      <vt:variant>
        <vt:i4>128</vt:i4>
      </vt:variant>
      <vt:variant>
        <vt:i4>0</vt:i4>
      </vt:variant>
      <vt:variant>
        <vt:i4>5</vt:i4>
      </vt:variant>
      <vt:variant>
        <vt:lpwstr/>
      </vt:variant>
      <vt:variant>
        <vt:lpwstr>_Toc64016586</vt:lpwstr>
      </vt:variant>
      <vt:variant>
        <vt:i4>1179704</vt:i4>
      </vt:variant>
      <vt:variant>
        <vt:i4>122</vt:i4>
      </vt:variant>
      <vt:variant>
        <vt:i4>0</vt:i4>
      </vt:variant>
      <vt:variant>
        <vt:i4>5</vt:i4>
      </vt:variant>
      <vt:variant>
        <vt:lpwstr/>
      </vt:variant>
      <vt:variant>
        <vt:lpwstr>_Toc64016585</vt:lpwstr>
      </vt:variant>
      <vt:variant>
        <vt:i4>1245240</vt:i4>
      </vt:variant>
      <vt:variant>
        <vt:i4>116</vt:i4>
      </vt:variant>
      <vt:variant>
        <vt:i4>0</vt:i4>
      </vt:variant>
      <vt:variant>
        <vt:i4>5</vt:i4>
      </vt:variant>
      <vt:variant>
        <vt:lpwstr/>
      </vt:variant>
      <vt:variant>
        <vt:lpwstr>_Toc64016584</vt:lpwstr>
      </vt:variant>
      <vt:variant>
        <vt:i4>1310776</vt:i4>
      </vt:variant>
      <vt:variant>
        <vt:i4>110</vt:i4>
      </vt:variant>
      <vt:variant>
        <vt:i4>0</vt:i4>
      </vt:variant>
      <vt:variant>
        <vt:i4>5</vt:i4>
      </vt:variant>
      <vt:variant>
        <vt:lpwstr/>
      </vt:variant>
      <vt:variant>
        <vt:lpwstr>_Toc64016583</vt:lpwstr>
      </vt:variant>
      <vt:variant>
        <vt:i4>1376312</vt:i4>
      </vt:variant>
      <vt:variant>
        <vt:i4>104</vt:i4>
      </vt:variant>
      <vt:variant>
        <vt:i4>0</vt:i4>
      </vt:variant>
      <vt:variant>
        <vt:i4>5</vt:i4>
      </vt:variant>
      <vt:variant>
        <vt:lpwstr/>
      </vt:variant>
      <vt:variant>
        <vt:lpwstr>_Toc64016582</vt:lpwstr>
      </vt:variant>
      <vt:variant>
        <vt:i4>1441848</vt:i4>
      </vt:variant>
      <vt:variant>
        <vt:i4>98</vt:i4>
      </vt:variant>
      <vt:variant>
        <vt:i4>0</vt:i4>
      </vt:variant>
      <vt:variant>
        <vt:i4>5</vt:i4>
      </vt:variant>
      <vt:variant>
        <vt:lpwstr/>
      </vt:variant>
      <vt:variant>
        <vt:lpwstr>_Toc64016581</vt:lpwstr>
      </vt:variant>
      <vt:variant>
        <vt:i4>1507384</vt:i4>
      </vt:variant>
      <vt:variant>
        <vt:i4>92</vt:i4>
      </vt:variant>
      <vt:variant>
        <vt:i4>0</vt:i4>
      </vt:variant>
      <vt:variant>
        <vt:i4>5</vt:i4>
      </vt:variant>
      <vt:variant>
        <vt:lpwstr/>
      </vt:variant>
      <vt:variant>
        <vt:lpwstr>_Toc64016580</vt:lpwstr>
      </vt:variant>
      <vt:variant>
        <vt:i4>1966135</vt:i4>
      </vt:variant>
      <vt:variant>
        <vt:i4>86</vt:i4>
      </vt:variant>
      <vt:variant>
        <vt:i4>0</vt:i4>
      </vt:variant>
      <vt:variant>
        <vt:i4>5</vt:i4>
      </vt:variant>
      <vt:variant>
        <vt:lpwstr/>
      </vt:variant>
      <vt:variant>
        <vt:lpwstr>_Toc64016579</vt:lpwstr>
      </vt:variant>
      <vt:variant>
        <vt:i4>2031671</vt:i4>
      </vt:variant>
      <vt:variant>
        <vt:i4>80</vt:i4>
      </vt:variant>
      <vt:variant>
        <vt:i4>0</vt:i4>
      </vt:variant>
      <vt:variant>
        <vt:i4>5</vt:i4>
      </vt:variant>
      <vt:variant>
        <vt:lpwstr/>
      </vt:variant>
      <vt:variant>
        <vt:lpwstr>_Toc64016578</vt:lpwstr>
      </vt:variant>
      <vt:variant>
        <vt:i4>1048631</vt:i4>
      </vt:variant>
      <vt:variant>
        <vt:i4>74</vt:i4>
      </vt:variant>
      <vt:variant>
        <vt:i4>0</vt:i4>
      </vt:variant>
      <vt:variant>
        <vt:i4>5</vt:i4>
      </vt:variant>
      <vt:variant>
        <vt:lpwstr/>
      </vt:variant>
      <vt:variant>
        <vt:lpwstr>_Toc64016577</vt:lpwstr>
      </vt:variant>
      <vt:variant>
        <vt:i4>1114167</vt:i4>
      </vt:variant>
      <vt:variant>
        <vt:i4>68</vt:i4>
      </vt:variant>
      <vt:variant>
        <vt:i4>0</vt:i4>
      </vt:variant>
      <vt:variant>
        <vt:i4>5</vt:i4>
      </vt:variant>
      <vt:variant>
        <vt:lpwstr/>
      </vt:variant>
      <vt:variant>
        <vt:lpwstr>_Toc64016576</vt:lpwstr>
      </vt:variant>
      <vt:variant>
        <vt:i4>1179703</vt:i4>
      </vt:variant>
      <vt:variant>
        <vt:i4>62</vt:i4>
      </vt:variant>
      <vt:variant>
        <vt:i4>0</vt:i4>
      </vt:variant>
      <vt:variant>
        <vt:i4>5</vt:i4>
      </vt:variant>
      <vt:variant>
        <vt:lpwstr/>
      </vt:variant>
      <vt:variant>
        <vt:lpwstr>_Toc64016575</vt:lpwstr>
      </vt:variant>
      <vt:variant>
        <vt:i4>1245239</vt:i4>
      </vt:variant>
      <vt:variant>
        <vt:i4>56</vt:i4>
      </vt:variant>
      <vt:variant>
        <vt:i4>0</vt:i4>
      </vt:variant>
      <vt:variant>
        <vt:i4>5</vt:i4>
      </vt:variant>
      <vt:variant>
        <vt:lpwstr/>
      </vt:variant>
      <vt:variant>
        <vt:lpwstr>_Toc64016574</vt:lpwstr>
      </vt:variant>
      <vt:variant>
        <vt:i4>1310775</vt:i4>
      </vt:variant>
      <vt:variant>
        <vt:i4>50</vt:i4>
      </vt:variant>
      <vt:variant>
        <vt:i4>0</vt:i4>
      </vt:variant>
      <vt:variant>
        <vt:i4>5</vt:i4>
      </vt:variant>
      <vt:variant>
        <vt:lpwstr/>
      </vt:variant>
      <vt:variant>
        <vt:lpwstr>_Toc64016573</vt:lpwstr>
      </vt:variant>
      <vt:variant>
        <vt:i4>1376311</vt:i4>
      </vt:variant>
      <vt:variant>
        <vt:i4>44</vt:i4>
      </vt:variant>
      <vt:variant>
        <vt:i4>0</vt:i4>
      </vt:variant>
      <vt:variant>
        <vt:i4>5</vt:i4>
      </vt:variant>
      <vt:variant>
        <vt:lpwstr/>
      </vt:variant>
      <vt:variant>
        <vt:lpwstr>_Toc64016572</vt:lpwstr>
      </vt:variant>
      <vt:variant>
        <vt:i4>1441847</vt:i4>
      </vt:variant>
      <vt:variant>
        <vt:i4>38</vt:i4>
      </vt:variant>
      <vt:variant>
        <vt:i4>0</vt:i4>
      </vt:variant>
      <vt:variant>
        <vt:i4>5</vt:i4>
      </vt:variant>
      <vt:variant>
        <vt:lpwstr/>
      </vt:variant>
      <vt:variant>
        <vt:lpwstr>_Toc64016571</vt:lpwstr>
      </vt:variant>
      <vt:variant>
        <vt:i4>1507383</vt:i4>
      </vt:variant>
      <vt:variant>
        <vt:i4>32</vt:i4>
      </vt:variant>
      <vt:variant>
        <vt:i4>0</vt:i4>
      </vt:variant>
      <vt:variant>
        <vt:i4>5</vt:i4>
      </vt:variant>
      <vt:variant>
        <vt:lpwstr/>
      </vt:variant>
      <vt:variant>
        <vt:lpwstr>_Toc64016570</vt:lpwstr>
      </vt:variant>
      <vt:variant>
        <vt:i4>1966134</vt:i4>
      </vt:variant>
      <vt:variant>
        <vt:i4>26</vt:i4>
      </vt:variant>
      <vt:variant>
        <vt:i4>0</vt:i4>
      </vt:variant>
      <vt:variant>
        <vt:i4>5</vt:i4>
      </vt:variant>
      <vt:variant>
        <vt:lpwstr/>
      </vt:variant>
      <vt:variant>
        <vt:lpwstr>_Toc64016569</vt:lpwstr>
      </vt:variant>
      <vt:variant>
        <vt:i4>2031670</vt:i4>
      </vt:variant>
      <vt:variant>
        <vt:i4>20</vt:i4>
      </vt:variant>
      <vt:variant>
        <vt:i4>0</vt:i4>
      </vt:variant>
      <vt:variant>
        <vt:i4>5</vt:i4>
      </vt:variant>
      <vt:variant>
        <vt:lpwstr/>
      </vt:variant>
      <vt:variant>
        <vt:lpwstr>_Toc64016568</vt:lpwstr>
      </vt:variant>
      <vt:variant>
        <vt:i4>1048630</vt:i4>
      </vt:variant>
      <vt:variant>
        <vt:i4>14</vt:i4>
      </vt:variant>
      <vt:variant>
        <vt:i4>0</vt:i4>
      </vt:variant>
      <vt:variant>
        <vt:i4>5</vt:i4>
      </vt:variant>
      <vt:variant>
        <vt:lpwstr/>
      </vt:variant>
      <vt:variant>
        <vt:lpwstr>_Toc64016567</vt:lpwstr>
      </vt:variant>
      <vt:variant>
        <vt:i4>1114166</vt:i4>
      </vt:variant>
      <vt:variant>
        <vt:i4>8</vt:i4>
      </vt:variant>
      <vt:variant>
        <vt:i4>0</vt:i4>
      </vt:variant>
      <vt:variant>
        <vt:i4>5</vt:i4>
      </vt:variant>
      <vt:variant>
        <vt:lpwstr/>
      </vt:variant>
      <vt:variant>
        <vt:lpwstr>_Toc64016566</vt:lpwstr>
      </vt:variant>
      <vt:variant>
        <vt:i4>1179702</vt:i4>
      </vt:variant>
      <vt:variant>
        <vt:i4>2</vt:i4>
      </vt:variant>
      <vt:variant>
        <vt:i4>0</vt:i4>
      </vt:variant>
      <vt:variant>
        <vt:i4>5</vt:i4>
      </vt:variant>
      <vt:variant>
        <vt:lpwstr/>
      </vt:variant>
      <vt:variant>
        <vt:lpwstr>_Toc64016565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MHIF guidelines</dc:title>
  <dc:subject>2020-21 MHIF guidelines</dc:subject>
  <dc:creator>Victorian Health and Human Services Building Authority</dc:creator>
  <cp:keywords>Metropolitan Health Infrastructure Fund, MHIF, guidelines</cp:keywords>
  <cp:lastModifiedBy>Sarah Hooton (Health)</cp:lastModifiedBy>
  <cp:revision>2</cp:revision>
  <cp:lastPrinted>2017-07-07T17:32:00Z</cp:lastPrinted>
  <dcterms:created xsi:type="dcterms:W3CDTF">2021-02-11T23:41:00Z</dcterms:created>
  <dcterms:modified xsi:type="dcterms:W3CDTF">2021-02-11T23:41:00Z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2021-02-10T03:06:31Z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a20b08d8-0312-45ad-a037-f9a6fdaeda3e</vt:lpwstr>
  </property>
  <property fmtid="{D5CDD505-2E9C-101B-9397-08002B2CF9AE}" pid="9" name="MSIP_Label_efdf5488-3066-4b6c-8fea-9472b8a1f34c_ContentBits">
    <vt:lpwstr>0</vt:lpwstr>
  </property>
  <property fmtid="{D5CDD505-2E9C-101B-9397-08002B2CF9AE}" pid="10" name="ContentTypeId">
    <vt:lpwstr>0x01010085541A90C2B1EB4FA6FF32C97F5625AE</vt:lpwstr>
  </property>
</Properties>
</file>