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olor w:val="B5C1B8" w:themeColor="accent1"/>
          <w:sz w:val="24"/>
          <w:szCs w:val="76"/>
        </w:rPr>
        <w:id w:val="1211389946"/>
        <w:docPartObj>
          <w:docPartGallery w:val="Cover Pages"/>
          <w:docPartUnique/>
        </w:docPartObj>
      </w:sdtPr>
      <w:sdtEndPr>
        <w:rPr>
          <w:color w:val="auto"/>
          <w:sz w:val="20"/>
          <w:szCs w:val="22"/>
        </w:rPr>
      </w:sdtEndPr>
      <w:sdtContent>
        <w:p w14:paraId="22B13F69" w14:textId="77777777" w:rsidR="00A73694" w:rsidRPr="0021393D" w:rsidRDefault="00A73694" w:rsidP="00A73694">
          <w:pPr>
            <w:pStyle w:val="Cover1-Logo"/>
            <w:spacing w:before="480" w:after="1640"/>
          </w:pPr>
          <w:r>
            <w:rPr>
              <w:noProof/>
            </w:rPr>
            <w:drawing>
              <wp:anchor distT="0" distB="0" distL="114300" distR="114300" simplePos="0" relativeHeight="251658240" behindDoc="1" locked="0" layoutInCell="1" allowOverlap="1" wp14:anchorId="2E0743B3" wp14:editId="6F93F42D">
                <wp:simplePos x="0" y="0"/>
                <wp:positionH relativeFrom="column">
                  <wp:posOffset>-539750</wp:posOffset>
                </wp:positionH>
                <wp:positionV relativeFrom="page">
                  <wp:posOffset>4749800</wp:posOffset>
                </wp:positionV>
                <wp:extent cx="7559675" cy="5575300"/>
                <wp:effectExtent l="0" t="0" r="0" b="0"/>
                <wp:wrapNone/>
                <wp:docPr id="17066587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65876" name="Picture 16">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b="6035"/>
                        <a:stretch>
                          <a:fillRect/>
                        </a:stretch>
                      </pic:blipFill>
                      <pic:spPr bwMode="auto">
                        <a:xfrm>
                          <a:off x="0" y="0"/>
                          <a:ext cx="7560000" cy="5575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56D59CF" wp14:editId="57799D4A">
                <wp:extent cx="2368800" cy="316800"/>
                <wp:effectExtent l="0" t="0" r="0" b="1270"/>
                <wp:docPr id="1085690066" name="Picture 12" descr="VIDA Health, Victorian Health Building Authority, Victorian Infrastructure Delivery Authority, Victoria State Government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690066" name="Picture 12" descr="VIDA Health, Victorian Health Building Authority, Victorian Infrastructure Delivery Authority, Victoria State Government logo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68800" cy="316800"/>
                        </a:xfrm>
                        <a:prstGeom prst="rect">
                          <a:avLst/>
                        </a:prstGeom>
                      </pic:spPr>
                    </pic:pic>
                  </a:graphicData>
                </a:graphic>
              </wp:inline>
            </w:drawing>
          </w:r>
        </w:p>
        <w:p w14:paraId="04DA5B8A" w14:textId="77777777" w:rsidR="00A73694" w:rsidRPr="00A73694" w:rsidRDefault="00A73694" w:rsidP="00A73694">
          <w:pPr>
            <w:pStyle w:val="Cover2-Date"/>
            <w:ind w:left="-284" w:firstLine="284"/>
          </w:pPr>
        </w:p>
        <w:sdt>
          <w:sdtPr>
            <w:id w:val="-1042204521"/>
            <w:placeholder>
              <w:docPart w:val="F483A24DDE344F4CBB65001B525CD93C"/>
            </w:placeholder>
            <w15:dataBinding w:prefixMappings="xmlns:ns0='http://VIDA_XML.htm' " w:xpath="/ns0:VIDA_XMLNode[1]/ns0:CoverTitle[1]" w:storeItemID="{DE7F92AD-85CC-4E91-9F91-012788F7380E}"/>
          </w:sdtPr>
          <w:sdtEndPr/>
          <w:sdtContent>
            <w:p w14:paraId="47F6800B" w14:textId="77777777" w:rsidR="00FA6826" w:rsidRPr="00FA6826" w:rsidRDefault="00FA6826" w:rsidP="00FA6826">
              <w:pPr>
                <w:pStyle w:val="Cover3-Title"/>
              </w:pPr>
              <w:r>
                <w:t xml:space="preserve">2025-26 Regional Health Infrastructure Fund  </w:t>
              </w:r>
            </w:p>
          </w:sdtContent>
        </w:sdt>
        <w:p w14:paraId="569B07B4" w14:textId="77777777" w:rsidR="00A73694" w:rsidRDefault="00224BF2" w:rsidP="00A73694">
          <w:pPr>
            <w:pStyle w:val="Cover4-Subtitle"/>
          </w:pPr>
          <w:sdt>
            <w:sdtPr>
              <w:id w:val="1541321693"/>
              <w:placeholder>
                <w:docPart w:val="5755837A71DC43CCAB693E1F9F2406AC"/>
              </w:placeholder>
              <w15:dataBinding w:prefixMappings="xmlns:ns0='http://VIDA_XML.htm' " w:xpath="/ns0:VIDA_XMLNode[1]/ns0:CoverSubtitle[1]" w:storeItemID="{DE7F92AD-85CC-4E91-9F91-012788F7380E}"/>
            </w:sdtPr>
            <w:sdtEndPr/>
            <w:sdtContent>
              <w:r w:rsidR="00FA6826">
                <w:t>Guidelines</w:t>
              </w:r>
            </w:sdtContent>
          </w:sdt>
        </w:p>
        <w:p w14:paraId="148358D6" w14:textId="77777777" w:rsidR="00A73694" w:rsidRPr="00A73694" w:rsidRDefault="00A73694" w:rsidP="00A73694">
          <w:pPr>
            <w:pStyle w:val="Cover6-Docnumber"/>
          </w:pPr>
        </w:p>
        <w:p w14:paraId="0DF3D86C" w14:textId="77777777" w:rsidR="00A73694" w:rsidRPr="00FD4224" w:rsidRDefault="00A73694" w:rsidP="00A73694">
          <w:pPr>
            <w:pStyle w:val="BodyText"/>
            <w:sectPr w:rsidR="00A73694" w:rsidRPr="00FD4224" w:rsidSect="00A73694">
              <w:headerReference w:type="even" r:id="rId13"/>
              <w:headerReference w:type="default" r:id="rId14"/>
              <w:footerReference w:type="even" r:id="rId15"/>
              <w:footerReference w:type="default" r:id="rId16"/>
              <w:headerReference w:type="first" r:id="rId17"/>
              <w:footerReference w:type="first" r:id="rId18"/>
              <w:pgSz w:w="11906" w:h="16838" w:code="9"/>
              <w:pgMar w:top="1008" w:right="1134" w:bottom="1134" w:left="850" w:header="454" w:footer="454" w:gutter="0"/>
              <w:pgNumType w:fmt="lowerRoman" w:start="0"/>
              <w:cols w:space="708"/>
              <w:titlePg/>
              <w:docGrid w:linePitch="360"/>
            </w:sectPr>
          </w:pPr>
        </w:p>
        <w:p w14:paraId="5EC25012" w14:textId="77777777" w:rsidR="00A73694" w:rsidRPr="00D35360" w:rsidRDefault="00224BF2" w:rsidP="00A73694">
          <w:pPr>
            <w:pStyle w:val="BodyText"/>
            <w:ind w:left="-284"/>
          </w:pPr>
        </w:p>
      </w:sdtContent>
    </w:sdt>
    <w:sdt>
      <w:sdtPr>
        <w:rPr>
          <w:rFonts w:asciiTheme="minorHAnsi" w:eastAsiaTheme="minorHAnsi" w:hAnsiTheme="minorHAnsi" w:cstheme="minorBidi"/>
          <w:b w:val="0"/>
          <w:bCs w:val="0"/>
          <w:color w:val="auto"/>
          <w:sz w:val="22"/>
          <w:szCs w:val="22"/>
        </w:rPr>
        <w:id w:val="-600416932"/>
        <w:docPartObj>
          <w:docPartGallery w:val="Table of Contents"/>
          <w:docPartUnique/>
        </w:docPartObj>
      </w:sdtPr>
      <w:sdtEndPr>
        <w:rPr>
          <w:sz w:val="20"/>
        </w:rPr>
      </w:sdtEndPr>
      <w:sdtContent>
        <w:p w14:paraId="5F869C27" w14:textId="77777777" w:rsidR="00A73694" w:rsidRPr="0056743B" w:rsidRDefault="00A73694" w:rsidP="00A73694">
          <w:pPr>
            <w:pStyle w:val="TOCHeading"/>
          </w:pPr>
          <w:r w:rsidRPr="0056743B">
            <w:t>Table of Contents</w:t>
          </w:r>
        </w:p>
        <w:p w14:paraId="4A21674C" w14:textId="77777777" w:rsidR="00986791" w:rsidRDefault="00A73694">
          <w:pPr>
            <w:pStyle w:val="TOC1"/>
            <w:rPr>
              <w:rFonts w:eastAsiaTheme="minorEastAsia"/>
              <w:b w:val="0"/>
              <w:kern w:val="2"/>
              <w:sz w:val="24"/>
              <w:szCs w:val="24"/>
              <w:lang w:eastAsia="en-AU"/>
              <w14:ligatures w14:val="standardContextual"/>
            </w:rPr>
          </w:pPr>
          <w:r>
            <w:fldChar w:fldCharType="begin"/>
          </w:r>
          <w:r>
            <w:instrText xml:space="preserve"> TOC \o "1-3" \h \z \u \t "Heading 7,1,Heading 8,2,Heading 9,3" </w:instrText>
          </w:r>
          <w:r>
            <w:fldChar w:fldCharType="separate"/>
          </w:r>
          <w:hyperlink w:anchor="_Toc217405464" w:history="1">
            <w:r w:rsidR="00986791" w:rsidRPr="00792E35">
              <w:rPr>
                <w:rStyle w:val="Hyperlink"/>
              </w:rPr>
              <w:t>Submission link</w:t>
            </w:r>
            <w:r w:rsidR="00986791">
              <w:rPr>
                <w:webHidden/>
              </w:rPr>
              <w:tab/>
            </w:r>
            <w:r w:rsidR="00986791">
              <w:rPr>
                <w:webHidden/>
              </w:rPr>
              <w:fldChar w:fldCharType="begin"/>
            </w:r>
            <w:r w:rsidR="00986791">
              <w:rPr>
                <w:webHidden/>
              </w:rPr>
              <w:instrText xml:space="preserve"> PAGEREF _Toc217405464 \h </w:instrText>
            </w:r>
            <w:r w:rsidR="00986791">
              <w:rPr>
                <w:webHidden/>
              </w:rPr>
            </w:r>
            <w:r w:rsidR="00986791">
              <w:rPr>
                <w:webHidden/>
              </w:rPr>
              <w:fldChar w:fldCharType="separate"/>
            </w:r>
            <w:r w:rsidR="00986791">
              <w:rPr>
                <w:webHidden/>
              </w:rPr>
              <w:t>4</w:t>
            </w:r>
            <w:r w:rsidR="00986791">
              <w:rPr>
                <w:webHidden/>
              </w:rPr>
              <w:fldChar w:fldCharType="end"/>
            </w:r>
          </w:hyperlink>
        </w:p>
        <w:p w14:paraId="7E84B45C" w14:textId="77777777" w:rsidR="00986791" w:rsidRDefault="00986791">
          <w:pPr>
            <w:pStyle w:val="TOC2"/>
            <w:rPr>
              <w:rFonts w:eastAsiaTheme="minorEastAsia"/>
              <w:kern w:val="2"/>
              <w:sz w:val="24"/>
              <w:szCs w:val="24"/>
              <w:lang w:eastAsia="en-AU"/>
              <w14:ligatures w14:val="standardContextual"/>
            </w:rPr>
          </w:pPr>
          <w:hyperlink w:anchor="_Toc217405465" w:history="1">
            <w:r w:rsidRPr="00792E35">
              <w:rPr>
                <w:rStyle w:val="Hyperlink"/>
                <w:bCs/>
              </w:rPr>
              <w:t>Submissions Timeline</w:t>
            </w:r>
            <w:r>
              <w:rPr>
                <w:webHidden/>
              </w:rPr>
              <w:tab/>
            </w:r>
            <w:r>
              <w:rPr>
                <w:webHidden/>
              </w:rPr>
              <w:fldChar w:fldCharType="begin"/>
            </w:r>
            <w:r>
              <w:rPr>
                <w:webHidden/>
              </w:rPr>
              <w:instrText xml:space="preserve"> PAGEREF _Toc217405465 \h </w:instrText>
            </w:r>
            <w:r>
              <w:rPr>
                <w:webHidden/>
              </w:rPr>
            </w:r>
            <w:r>
              <w:rPr>
                <w:webHidden/>
              </w:rPr>
              <w:fldChar w:fldCharType="separate"/>
            </w:r>
            <w:r>
              <w:rPr>
                <w:webHidden/>
              </w:rPr>
              <w:t>4</w:t>
            </w:r>
            <w:r>
              <w:rPr>
                <w:webHidden/>
              </w:rPr>
              <w:fldChar w:fldCharType="end"/>
            </w:r>
          </w:hyperlink>
        </w:p>
        <w:p w14:paraId="440820E3" w14:textId="77777777" w:rsidR="00986791" w:rsidRDefault="00986791">
          <w:pPr>
            <w:pStyle w:val="TOC1"/>
            <w:rPr>
              <w:rFonts w:eastAsiaTheme="minorEastAsia"/>
              <w:b w:val="0"/>
              <w:kern w:val="2"/>
              <w:sz w:val="24"/>
              <w:szCs w:val="24"/>
              <w:lang w:eastAsia="en-AU"/>
              <w14:ligatures w14:val="standardContextual"/>
            </w:rPr>
          </w:pPr>
          <w:hyperlink w:anchor="_Toc217405466" w:history="1">
            <w:r w:rsidRPr="00792E35">
              <w:rPr>
                <w:rStyle w:val="Hyperlink"/>
              </w:rPr>
              <w:t>Purpose</w:t>
            </w:r>
            <w:r>
              <w:rPr>
                <w:webHidden/>
              </w:rPr>
              <w:tab/>
            </w:r>
            <w:r>
              <w:rPr>
                <w:webHidden/>
              </w:rPr>
              <w:fldChar w:fldCharType="begin"/>
            </w:r>
            <w:r>
              <w:rPr>
                <w:webHidden/>
              </w:rPr>
              <w:instrText xml:space="preserve"> PAGEREF _Toc217405466 \h </w:instrText>
            </w:r>
            <w:r>
              <w:rPr>
                <w:webHidden/>
              </w:rPr>
            </w:r>
            <w:r>
              <w:rPr>
                <w:webHidden/>
              </w:rPr>
              <w:fldChar w:fldCharType="separate"/>
            </w:r>
            <w:r>
              <w:rPr>
                <w:webHidden/>
              </w:rPr>
              <w:t>4</w:t>
            </w:r>
            <w:r>
              <w:rPr>
                <w:webHidden/>
              </w:rPr>
              <w:fldChar w:fldCharType="end"/>
            </w:r>
          </w:hyperlink>
        </w:p>
        <w:p w14:paraId="06E27ADC" w14:textId="77777777" w:rsidR="00986791" w:rsidRDefault="00986791">
          <w:pPr>
            <w:pStyle w:val="TOC2"/>
            <w:rPr>
              <w:rFonts w:eastAsiaTheme="minorEastAsia"/>
              <w:kern w:val="2"/>
              <w:sz w:val="24"/>
              <w:szCs w:val="24"/>
              <w:lang w:eastAsia="en-AU"/>
              <w14:ligatures w14:val="standardContextual"/>
            </w:rPr>
          </w:pPr>
          <w:hyperlink w:anchor="_Toc217405467" w:history="1">
            <w:r w:rsidRPr="00792E35">
              <w:rPr>
                <w:rStyle w:val="Hyperlink"/>
              </w:rPr>
              <w:t>Background</w:t>
            </w:r>
            <w:r>
              <w:rPr>
                <w:webHidden/>
              </w:rPr>
              <w:tab/>
            </w:r>
            <w:r>
              <w:rPr>
                <w:webHidden/>
              </w:rPr>
              <w:fldChar w:fldCharType="begin"/>
            </w:r>
            <w:r>
              <w:rPr>
                <w:webHidden/>
              </w:rPr>
              <w:instrText xml:space="preserve"> PAGEREF _Toc217405467 \h </w:instrText>
            </w:r>
            <w:r>
              <w:rPr>
                <w:webHidden/>
              </w:rPr>
            </w:r>
            <w:r>
              <w:rPr>
                <w:webHidden/>
              </w:rPr>
              <w:fldChar w:fldCharType="separate"/>
            </w:r>
            <w:r>
              <w:rPr>
                <w:webHidden/>
              </w:rPr>
              <w:t>4</w:t>
            </w:r>
            <w:r>
              <w:rPr>
                <w:webHidden/>
              </w:rPr>
              <w:fldChar w:fldCharType="end"/>
            </w:r>
          </w:hyperlink>
        </w:p>
        <w:p w14:paraId="39900DF5" w14:textId="77777777" w:rsidR="00986791" w:rsidRDefault="00986791">
          <w:pPr>
            <w:pStyle w:val="TOC2"/>
            <w:rPr>
              <w:rFonts w:eastAsiaTheme="minorEastAsia"/>
              <w:kern w:val="2"/>
              <w:sz w:val="24"/>
              <w:szCs w:val="24"/>
              <w:lang w:eastAsia="en-AU"/>
              <w14:ligatures w14:val="standardContextual"/>
            </w:rPr>
          </w:pPr>
          <w:hyperlink w:anchor="_Toc217405468" w:history="1">
            <w:r w:rsidRPr="00792E35">
              <w:rPr>
                <w:rStyle w:val="Hyperlink"/>
              </w:rPr>
              <w:t>Principles</w:t>
            </w:r>
            <w:r>
              <w:rPr>
                <w:webHidden/>
              </w:rPr>
              <w:tab/>
            </w:r>
            <w:r>
              <w:rPr>
                <w:webHidden/>
              </w:rPr>
              <w:fldChar w:fldCharType="begin"/>
            </w:r>
            <w:r>
              <w:rPr>
                <w:webHidden/>
              </w:rPr>
              <w:instrText xml:space="preserve"> PAGEREF _Toc217405468 \h </w:instrText>
            </w:r>
            <w:r>
              <w:rPr>
                <w:webHidden/>
              </w:rPr>
            </w:r>
            <w:r>
              <w:rPr>
                <w:webHidden/>
              </w:rPr>
              <w:fldChar w:fldCharType="separate"/>
            </w:r>
            <w:r>
              <w:rPr>
                <w:webHidden/>
              </w:rPr>
              <w:t>4</w:t>
            </w:r>
            <w:r>
              <w:rPr>
                <w:webHidden/>
              </w:rPr>
              <w:fldChar w:fldCharType="end"/>
            </w:r>
          </w:hyperlink>
        </w:p>
        <w:p w14:paraId="66744725" w14:textId="77777777" w:rsidR="00986791" w:rsidRDefault="00986791">
          <w:pPr>
            <w:pStyle w:val="TOC1"/>
            <w:rPr>
              <w:rFonts w:eastAsiaTheme="minorEastAsia"/>
              <w:b w:val="0"/>
              <w:kern w:val="2"/>
              <w:sz w:val="24"/>
              <w:szCs w:val="24"/>
              <w:lang w:eastAsia="en-AU"/>
              <w14:ligatures w14:val="standardContextual"/>
            </w:rPr>
          </w:pPr>
          <w:hyperlink w:anchor="_Toc217405469" w:history="1">
            <w:r w:rsidRPr="00792E35">
              <w:rPr>
                <w:rStyle w:val="Hyperlink"/>
              </w:rPr>
              <w:t>RHIF 2025-26 Streams</w:t>
            </w:r>
            <w:r>
              <w:rPr>
                <w:webHidden/>
              </w:rPr>
              <w:tab/>
            </w:r>
            <w:r>
              <w:rPr>
                <w:webHidden/>
              </w:rPr>
              <w:fldChar w:fldCharType="begin"/>
            </w:r>
            <w:r>
              <w:rPr>
                <w:webHidden/>
              </w:rPr>
              <w:instrText xml:space="preserve"> PAGEREF _Toc217405469 \h </w:instrText>
            </w:r>
            <w:r>
              <w:rPr>
                <w:webHidden/>
              </w:rPr>
            </w:r>
            <w:r>
              <w:rPr>
                <w:webHidden/>
              </w:rPr>
              <w:fldChar w:fldCharType="separate"/>
            </w:r>
            <w:r>
              <w:rPr>
                <w:webHidden/>
              </w:rPr>
              <w:t>6</w:t>
            </w:r>
            <w:r>
              <w:rPr>
                <w:webHidden/>
              </w:rPr>
              <w:fldChar w:fldCharType="end"/>
            </w:r>
          </w:hyperlink>
        </w:p>
        <w:p w14:paraId="15DA39CD" w14:textId="77777777" w:rsidR="00986791" w:rsidRDefault="00986791">
          <w:pPr>
            <w:pStyle w:val="TOC2"/>
            <w:rPr>
              <w:rFonts w:eastAsiaTheme="minorEastAsia"/>
              <w:kern w:val="2"/>
              <w:sz w:val="24"/>
              <w:szCs w:val="24"/>
              <w:lang w:eastAsia="en-AU"/>
              <w14:ligatures w14:val="standardContextual"/>
            </w:rPr>
          </w:pPr>
          <w:hyperlink w:anchor="_Toc217405470" w:history="1">
            <w:r w:rsidRPr="00792E35">
              <w:rPr>
                <w:rStyle w:val="Hyperlink"/>
              </w:rPr>
              <w:t>Stream 1 Projects – Ready for Implementation</w:t>
            </w:r>
            <w:r>
              <w:rPr>
                <w:webHidden/>
              </w:rPr>
              <w:tab/>
            </w:r>
            <w:r>
              <w:rPr>
                <w:webHidden/>
              </w:rPr>
              <w:fldChar w:fldCharType="begin"/>
            </w:r>
            <w:r>
              <w:rPr>
                <w:webHidden/>
              </w:rPr>
              <w:instrText xml:space="preserve"> PAGEREF _Toc217405470 \h </w:instrText>
            </w:r>
            <w:r>
              <w:rPr>
                <w:webHidden/>
              </w:rPr>
            </w:r>
            <w:r>
              <w:rPr>
                <w:webHidden/>
              </w:rPr>
              <w:fldChar w:fldCharType="separate"/>
            </w:r>
            <w:r>
              <w:rPr>
                <w:webHidden/>
              </w:rPr>
              <w:t>6</w:t>
            </w:r>
            <w:r>
              <w:rPr>
                <w:webHidden/>
              </w:rPr>
              <w:fldChar w:fldCharType="end"/>
            </w:r>
          </w:hyperlink>
        </w:p>
        <w:p w14:paraId="6FE81B67" w14:textId="77777777" w:rsidR="00986791" w:rsidRDefault="00986791">
          <w:pPr>
            <w:pStyle w:val="TOC2"/>
            <w:rPr>
              <w:rFonts w:eastAsiaTheme="minorEastAsia"/>
              <w:kern w:val="2"/>
              <w:sz w:val="24"/>
              <w:szCs w:val="24"/>
              <w:lang w:eastAsia="en-AU"/>
              <w14:ligatures w14:val="standardContextual"/>
            </w:rPr>
          </w:pPr>
          <w:hyperlink w:anchor="_Toc217405471" w:history="1">
            <w:r w:rsidRPr="00792E35">
              <w:rPr>
                <w:rStyle w:val="Hyperlink"/>
                <w:rFonts w:eastAsia="Times New Roman"/>
              </w:rPr>
              <w:t>2022-23, 2023-24 and 2024-25 Stream 2 Projects in progress</w:t>
            </w:r>
            <w:r>
              <w:rPr>
                <w:webHidden/>
              </w:rPr>
              <w:tab/>
            </w:r>
            <w:r>
              <w:rPr>
                <w:webHidden/>
              </w:rPr>
              <w:fldChar w:fldCharType="begin"/>
            </w:r>
            <w:r>
              <w:rPr>
                <w:webHidden/>
              </w:rPr>
              <w:instrText xml:space="preserve"> PAGEREF _Toc217405471 \h </w:instrText>
            </w:r>
            <w:r>
              <w:rPr>
                <w:webHidden/>
              </w:rPr>
            </w:r>
            <w:r>
              <w:rPr>
                <w:webHidden/>
              </w:rPr>
              <w:fldChar w:fldCharType="separate"/>
            </w:r>
            <w:r>
              <w:rPr>
                <w:webHidden/>
              </w:rPr>
              <w:t>6</w:t>
            </w:r>
            <w:r>
              <w:rPr>
                <w:webHidden/>
              </w:rPr>
              <w:fldChar w:fldCharType="end"/>
            </w:r>
          </w:hyperlink>
        </w:p>
        <w:p w14:paraId="36702585" w14:textId="77777777" w:rsidR="00986791" w:rsidRDefault="00986791">
          <w:pPr>
            <w:pStyle w:val="TOC2"/>
            <w:rPr>
              <w:rFonts w:eastAsiaTheme="minorEastAsia"/>
              <w:kern w:val="2"/>
              <w:sz w:val="24"/>
              <w:szCs w:val="24"/>
              <w:lang w:eastAsia="en-AU"/>
              <w14:ligatures w14:val="standardContextual"/>
            </w:rPr>
          </w:pPr>
          <w:hyperlink w:anchor="_Toc217405472" w:history="1">
            <w:r w:rsidRPr="00792E35">
              <w:rPr>
                <w:rStyle w:val="Hyperlink"/>
                <w:rFonts w:eastAsia="Times New Roman"/>
              </w:rPr>
              <w:t>NEW Stream 2 Projects – funding for ongoing Planning or Design development</w:t>
            </w:r>
            <w:r>
              <w:rPr>
                <w:webHidden/>
              </w:rPr>
              <w:tab/>
            </w:r>
            <w:r>
              <w:rPr>
                <w:webHidden/>
              </w:rPr>
              <w:fldChar w:fldCharType="begin"/>
            </w:r>
            <w:r>
              <w:rPr>
                <w:webHidden/>
              </w:rPr>
              <w:instrText xml:space="preserve"> PAGEREF _Toc217405472 \h </w:instrText>
            </w:r>
            <w:r>
              <w:rPr>
                <w:webHidden/>
              </w:rPr>
            </w:r>
            <w:r>
              <w:rPr>
                <w:webHidden/>
              </w:rPr>
              <w:fldChar w:fldCharType="separate"/>
            </w:r>
            <w:r>
              <w:rPr>
                <w:webHidden/>
              </w:rPr>
              <w:t>7</w:t>
            </w:r>
            <w:r>
              <w:rPr>
                <w:webHidden/>
              </w:rPr>
              <w:fldChar w:fldCharType="end"/>
            </w:r>
          </w:hyperlink>
        </w:p>
        <w:p w14:paraId="075C36C3" w14:textId="77777777" w:rsidR="00986791" w:rsidRDefault="00986791">
          <w:pPr>
            <w:pStyle w:val="TOC2"/>
            <w:rPr>
              <w:rFonts w:eastAsiaTheme="minorEastAsia"/>
              <w:kern w:val="2"/>
              <w:sz w:val="24"/>
              <w:szCs w:val="24"/>
              <w:lang w:eastAsia="en-AU"/>
              <w14:ligatures w14:val="standardContextual"/>
            </w:rPr>
          </w:pPr>
          <w:hyperlink w:anchor="_Toc217405473" w:history="1">
            <w:r w:rsidRPr="00792E35">
              <w:rPr>
                <w:rStyle w:val="Hyperlink"/>
                <w:rFonts w:eastAsia="Times New Roman"/>
              </w:rPr>
              <w:t>Aboriginal Community Controlled Health Organisations (ACCHO) Stream – Less than $400,000</w:t>
            </w:r>
            <w:r>
              <w:rPr>
                <w:webHidden/>
              </w:rPr>
              <w:tab/>
            </w:r>
            <w:r>
              <w:rPr>
                <w:webHidden/>
              </w:rPr>
              <w:fldChar w:fldCharType="begin"/>
            </w:r>
            <w:r>
              <w:rPr>
                <w:webHidden/>
              </w:rPr>
              <w:instrText xml:space="preserve"> PAGEREF _Toc217405473 \h </w:instrText>
            </w:r>
            <w:r>
              <w:rPr>
                <w:webHidden/>
              </w:rPr>
            </w:r>
            <w:r>
              <w:rPr>
                <w:webHidden/>
              </w:rPr>
              <w:fldChar w:fldCharType="separate"/>
            </w:r>
            <w:r>
              <w:rPr>
                <w:webHidden/>
              </w:rPr>
              <w:t>7</w:t>
            </w:r>
            <w:r>
              <w:rPr>
                <w:webHidden/>
              </w:rPr>
              <w:fldChar w:fldCharType="end"/>
            </w:r>
          </w:hyperlink>
        </w:p>
        <w:p w14:paraId="77AD8957" w14:textId="77777777" w:rsidR="00986791" w:rsidRDefault="00986791">
          <w:pPr>
            <w:pStyle w:val="TOC1"/>
            <w:rPr>
              <w:rFonts w:eastAsiaTheme="minorEastAsia"/>
              <w:b w:val="0"/>
              <w:kern w:val="2"/>
              <w:sz w:val="24"/>
              <w:szCs w:val="24"/>
              <w:lang w:eastAsia="en-AU"/>
              <w14:ligatures w14:val="standardContextual"/>
            </w:rPr>
          </w:pPr>
          <w:hyperlink w:anchor="_Toc217405474" w:history="1">
            <w:r w:rsidRPr="00792E35">
              <w:rPr>
                <w:rStyle w:val="Hyperlink"/>
                <w:rFonts w:eastAsia="Times New Roman"/>
              </w:rPr>
              <w:t>General eligibility criteria</w:t>
            </w:r>
            <w:r>
              <w:rPr>
                <w:webHidden/>
              </w:rPr>
              <w:tab/>
            </w:r>
            <w:r>
              <w:rPr>
                <w:webHidden/>
              </w:rPr>
              <w:fldChar w:fldCharType="begin"/>
            </w:r>
            <w:r>
              <w:rPr>
                <w:webHidden/>
              </w:rPr>
              <w:instrText xml:space="preserve"> PAGEREF _Toc217405474 \h </w:instrText>
            </w:r>
            <w:r>
              <w:rPr>
                <w:webHidden/>
              </w:rPr>
            </w:r>
            <w:r>
              <w:rPr>
                <w:webHidden/>
              </w:rPr>
              <w:fldChar w:fldCharType="separate"/>
            </w:r>
            <w:r>
              <w:rPr>
                <w:webHidden/>
              </w:rPr>
              <w:t>7</w:t>
            </w:r>
            <w:r>
              <w:rPr>
                <w:webHidden/>
              </w:rPr>
              <w:fldChar w:fldCharType="end"/>
            </w:r>
          </w:hyperlink>
        </w:p>
        <w:p w14:paraId="577AB8C7" w14:textId="77777777" w:rsidR="00986791" w:rsidRDefault="00986791">
          <w:pPr>
            <w:pStyle w:val="TOC2"/>
            <w:rPr>
              <w:rFonts w:eastAsiaTheme="minorEastAsia"/>
              <w:kern w:val="2"/>
              <w:sz w:val="24"/>
              <w:szCs w:val="24"/>
              <w:lang w:eastAsia="en-AU"/>
              <w14:ligatures w14:val="standardContextual"/>
            </w:rPr>
          </w:pPr>
          <w:hyperlink w:anchor="_Toc217405475" w:history="1">
            <w:r w:rsidRPr="00792E35">
              <w:rPr>
                <w:rStyle w:val="Hyperlink"/>
              </w:rPr>
              <w:t>For eligible agencies</w:t>
            </w:r>
            <w:r>
              <w:rPr>
                <w:webHidden/>
              </w:rPr>
              <w:tab/>
            </w:r>
            <w:r>
              <w:rPr>
                <w:webHidden/>
              </w:rPr>
              <w:fldChar w:fldCharType="begin"/>
            </w:r>
            <w:r>
              <w:rPr>
                <w:webHidden/>
              </w:rPr>
              <w:instrText xml:space="preserve"> PAGEREF _Toc217405475 \h </w:instrText>
            </w:r>
            <w:r>
              <w:rPr>
                <w:webHidden/>
              </w:rPr>
            </w:r>
            <w:r>
              <w:rPr>
                <w:webHidden/>
              </w:rPr>
              <w:fldChar w:fldCharType="separate"/>
            </w:r>
            <w:r>
              <w:rPr>
                <w:webHidden/>
              </w:rPr>
              <w:t>8</w:t>
            </w:r>
            <w:r>
              <w:rPr>
                <w:webHidden/>
              </w:rPr>
              <w:fldChar w:fldCharType="end"/>
            </w:r>
          </w:hyperlink>
        </w:p>
        <w:p w14:paraId="1A0F92F8" w14:textId="77777777" w:rsidR="00986791" w:rsidRDefault="00986791">
          <w:pPr>
            <w:pStyle w:val="TOC3"/>
            <w:rPr>
              <w:rFonts w:eastAsiaTheme="minorEastAsia"/>
              <w:kern w:val="2"/>
              <w:sz w:val="24"/>
              <w:szCs w:val="24"/>
              <w:lang w:eastAsia="en-AU"/>
              <w14:ligatures w14:val="standardContextual"/>
            </w:rPr>
          </w:pPr>
          <w:hyperlink w:anchor="_Toc217405476" w:history="1">
            <w:r w:rsidRPr="00792E35">
              <w:rPr>
                <w:rStyle w:val="Hyperlink"/>
              </w:rPr>
              <w:t>Construction works</w:t>
            </w:r>
            <w:r>
              <w:rPr>
                <w:webHidden/>
              </w:rPr>
              <w:tab/>
            </w:r>
            <w:r>
              <w:rPr>
                <w:webHidden/>
              </w:rPr>
              <w:fldChar w:fldCharType="begin"/>
            </w:r>
            <w:r>
              <w:rPr>
                <w:webHidden/>
              </w:rPr>
              <w:instrText xml:space="preserve"> PAGEREF _Toc217405476 \h </w:instrText>
            </w:r>
            <w:r>
              <w:rPr>
                <w:webHidden/>
              </w:rPr>
            </w:r>
            <w:r>
              <w:rPr>
                <w:webHidden/>
              </w:rPr>
              <w:fldChar w:fldCharType="separate"/>
            </w:r>
            <w:r>
              <w:rPr>
                <w:webHidden/>
              </w:rPr>
              <w:t>8</w:t>
            </w:r>
            <w:r>
              <w:rPr>
                <w:webHidden/>
              </w:rPr>
              <w:fldChar w:fldCharType="end"/>
            </w:r>
          </w:hyperlink>
        </w:p>
        <w:p w14:paraId="6286046A" w14:textId="77777777" w:rsidR="00986791" w:rsidRDefault="00986791">
          <w:pPr>
            <w:pStyle w:val="TOC3"/>
            <w:rPr>
              <w:rFonts w:eastAsiaTheme="minorEastAsia"/>
              <w:kern w:val="2"/>
              <w:sz w:val="24"/>
              <w:szCs w:val="24"/>
              <w:lang w:eastAsia="en-AU"/>
              <w14:ligatures w14:val="standardContextual"/>
            </w:rPr>
          </w:pPr>
          <w:hyperlink w:anchor="_Toc217405477" w:history="1">
            <w:r w:rsidRPr="00792E35">
              <w:rPr>
                <w:rStyle w:val="Hyperlink"/>
              </w:rPr>
              <w:t>Fire safety</w:t>
            </w:r>
            <w:r>
              <w:rPr>
                <w:webHidden/>
              </w:rPr>
              <w:tab/>
            </w:r>
            <w:r>
              <w:rPr>
                <w:webHidden/>
              </w:rPr>
              <w:fldChar w:fldCharType="begin"/>
            </w:r>
            <w:r>
              <w:rPr>
                <w:webHidden/>
              </w:rPr>
              <w:instrText xml:space="preserve"> PAGEREF _Toc217405477 \h </w:instrText>
            </w:r>
            <w:r>
              <w:rPr>
                <w:webHidden/>
              </w:rPr>
            </w:r>
            <w:r>
              <w:rPr>
                <w:webHidden/>
              </w:rPr>
              <w:fldChar w:fldCharType="separate"/>
            </w:r>
            <w:r>
              <w:rPr>
                <w:webHidden/>
              </w:rPr>
              <w:t>9</w:t>
            </w:r>
            <w:r>
              <w:rPr>
                <w:webHidden/>
              </w:rPr>
              <w:fldChar w:fldCharType="end"/>
            </w:r>
          </w:hyperlink>
        </w:p>
        <w:p w14:paraId="4A644BEC" w14:textId="77777777" w:rsidR="00986791" w:rsidRDefault="00986791">
          <w:pPr>
            <w:pStyle w:val="TOC3"/>
            <w:rPr>
              <w:rFonts w:eastAsiaTheme="minorEastAsia"/>
              <w:kern w:val="2"/>
              <w:sz w:val="24"/>
              <w:szCs w:val="24"/>
              <w:lang w:eastAsia="en-AU"/>
              <w14:ligatures w14:val="standardContextual"/>
            </w:rPr>
          </w:pPr>
          <w:hyperlink w:anchor="_Toc217405478" w:history="1">
            <w:r w:rsidRPr="00792E35">
              <w:rPr>
                <w:rStyle w:val="Hyperlink"/>
              </w:rPr>
              <w:t>Infection prevention and control</w:t>
            </w:r>
            <w:r>
              <w:rPr>
                <w:webHidden/>
              </w:rPr>
              <w:tab/>
            </w:r>
            <w:r>
              <w:rPr>
                <w:webHidden/>
              </w:rPr>
              <w:fldChar w:fldCharType="begin"/>
            </w:r>
            <w:r>
              <w:rPr>
                <w:webHidden/>
              </w:rPr>
              <w:instrText xml:space="preserve"> PAGEREF _Toc217405478 \h </w:instrText>
            </w:r>
            <w:r>
              <w:rPr>
                <w:webHidden/>
              </w:rPr>
            </w:r>
            <w:r>
              <w:rPr>
                <w:webHidden/>
              </w:rPr>
              <w:fldChar w:fldCharType="separate"/>
            </w:r>
            <w:r>
              <w:rPr>
                <w:webHidden/>
              </w:rPr>
              <w:t>9</w:t>
            </w:r>
            <w:r>
              <w:rPr>
                <w:webHidden/>
              </w:rPr>
              <w:fldChar w:fldCharType="end"/>
            </w:r>
          </w:hyperlink>
        </w:p>
        <w:p w14:paraId="04C1686A" w14:textId="77777777" w:rsidR="00986791" w:rsidRDefault="00986791">
          <w:pPr>
            <w:pStyle w:val="TOC3"/>
            <w:rPr>
              <w:rFonts w:eastAsiaTheme="minorEastAsia"/>
              <w:kern w:val="2"/>
              <w:sz w:val="24"/>
              <w:szCs w:val="24"/>
              <w:lang w:eastAsia="en-AU"/>
              <w14:ligatures w14:val="standardContextual"/>
            </w:rPr>
          </w:pPr>
          <w:hyperlink w:anchor="_Toc217405479" w:history="1">
            <w:r w:rsidRPr="00792E35">
              <w:rPr>
                <w:rStyle w:val="Hyperlink"/>
              </w:rPr>
              <w:t>Minor medical equipment</w:t>
            </w:r>
            <w:r>
              <w:rPr>
                <w:webHidden/>
              </w:rPr>
              <w:tab/>
            </w:r>
            <w:r>
              <w:rPr>
                <w:webHidden/>
              </w:rPr>
              <w:fldChar w:fldCharType="begin"/>
            </w:r>
            <w:r>
              <w:rPr>
                <w:webHidden/>
              </w:rPr>
              <w:instrText xml:space="preserve"> PAGEREF _Toc217405479 \h </w:instrText>
            </w:r>
            <w:r>
              <w:rPr>
                <w:webHidden/>
              </w:rPr>
            </w:r>
            <w:r>
              <w:rPr>
                <w:webHidden/>
              </w:rPr>
              <w:fldChar w:fldCharType="separate"/>
            </w:r>
            <w:r>
              <w:rPr>
                <w:webHidden/>
              </w:rPr>
              <w:t>9</w:t>
            </w:r>
            <w:r>
              <w:rPr>
                <w:webHidden/>
              </w:rPr>
              <w:fldChar w:fldCharType="end"/>
            </w:r>
          </w:hyperlink>
        </w:p>
        <w:p w14:paraId="0ACF6F85" w14:textId="77777777" w:rsidR="00986791" w:rsidRDefault="00986791">
          <w:pPr>
            <w:pStyle w:val="TOC3"/>
            <w:rPr>
              <w:rFonts w:eastAsiaTheme="minorEastAsia"/>
              <w:kern w:val="2"/>
              <w:sz w:val="24"/>
              <w:szCs w:val="24"/>
              <w:lang w:eastAsia="en-AU"/>
              <w14:ligatures w14:val="standardContextual"/>
            </w:rPr>
          </w:pPr>
          <w:hyperlink w:anchor="_Toc217405480" w:history="1">
            <w:r w:rsidRPr="00792E35">
              <w:rPr>
                <w:rStyle w:val="Hyperlink"/>
              </w:rPr>
              <w:t>Healthcare worker safety</w:t>
            </w:r>
            <w:r>
              <w:rPr>
                <w:webHidden/>
              </w:rPr>
              <w:tab/>
            </w:r>
            <w:r>
              <w:rPr>
                <w:webHidden/>
              </w:rPr>
              <w:fldChar w:fldCharType="begin"/>
            </w:r>
            <w:r>
              <w:rPr>
                <w:webHidden/>
              </w:rPr>
              <w:instrText xml:space="preserve"> PAGEREF _Toc217405480 \h </w:instrText>
            </w:r>
            <w:r>
              <w:rPr>
                <w:webHidden/>
              </w:rPr>
            </w:r>
            <w:r>
              <w:rPr>
                <w:webHidden/>
              </w:rPr>
              <w:fldChar w:fldCharType="separate"/>
            </w:r>
            <w:r>
              <w:rPr>
                <w:webHidden/>
              </w:rPr>
              <w:t>9</w:t>
            </w:r>
            <w:r>
              <w:rPr>
                <w:webHidden/>
              </w:rPr>
              <w:fldChar w:fldCharType="end"/>
            </w:r>
          </w:hyperlink>
        </w:p>
        <w:p w14:paraId="52F5FFF5" w14:textId="77777777" w:rsidR="00986791" w:rsidRDefault="00986791">
          <w:pPr>
            <w:pStyle w:val="TOC1"/>
            <w:rPr>
              <w:rFonts w:eastAsiaTheme="minorEastAsia"/>
              <w:b w:val="0"/>
              <w:kern w:val="2"/>
              <w:sz w:val="24"/>
              <w:szCs w:val="24"/>
              <w:lang w:eastAsia="en-AU"/>
              <w14:ligatures w14:val="standardContextual"/>
            </w:rPr>
          </w:pPr>
          <w:hyperlink w:anchor="_Toc217405481" w:history="1">
            <w:r w:rsidRPr="00792E35">
              <w:rPr>
                <w:rStyle w:val="Hyperlink"/>
                <w:rFonts w:eastAsia="Times New Roman"/>
              </w:rPr>
              <w:t>Ineligible and excluded items</w:t>
            </w:r>
            <w:r>
              <w:rPr>
                <w:webHidden/>
              </w:rPr>
              <w:tab/>
            </w:r>
            <w:r>
              <w:rPr>
                <w:webHidden/>
              </w:rPr>
              <w:fldChar w:fldCharType="begin"/>
            </w:r>
            <w:r>
              <w:rPr>
                <w:webHidden/>
              </w:rPr>
              <w:instrText xml:space="preserve"> PAGEREF _Toc217405481 \h </w:instrText>
            </w:r>
            <w:r>
              <w:rPr>
                <w:webHidden/>
              </w:rPr>
            </w:r>
            <w:r>
              <w:rPr>
                <w:webHidden/>
              </w:rPr>
              <w:fldChar w:fldCharType="separate"/>
            </w:r>
            <w:r>
              <w:rPr>
                <w:webHidden/>
              </w:rPr>
              <w:t>9</w:t>
            </w:r>
            <w:r>
              <w:rPr>
                <w:webHidden/>
              </w:rPr>
              <w:fldChar w:fldCharType="end"/>
            </w:r>
          </w:hyperlink>
        </w:p>
        <w:p w14:paraId="42692E26" w14:textId="77777777" w:rsidR="00986791" w:rsidRDefault="00986791">
          <w:pPr>
            <w:pStyle w:val="TOC1"/>
            <w:rPr>
              <w:rFonts w:eastAsiaTheme="minorEastAsia"/>
              <w:b w:val="0"/>
              <w:kern w:val="2"/>
              <w:sz w:val="24"/>
              <w:szCs w:val="24"/>
              <w:lang w:eastAsia="en-AU"/>
              <w14:ligatures w14:val="standardContextual"/>
            </w:rPr>
          </w:pPr>
          <w:hyperlink w:anchor="_Toc217405482" w:history="1">
            <w:r w:rsidRPr="00792E35">
              <w:rPr>
                <w:rStyle w:val="Hyperlink"/>
                <w:rFonts w:eastAsia="Times New Roman"/>
              </w:rPr>
              <w:t>Grant submission and evaluation process</w:t>
            </w:r>
            <w:r>
              <w:rPr>
                <w:webHidden/>
              </w:rPr>
              <w:tab/>
            </w:r>
            <w:r>
              <w:rPr>
                <w:webHidden/>
              </w:rPr>
              <w:fldChar w:fldCharType="begin"/>
            </w:r>
            <w:r>
              <w:rPr>
                <w:webHidden/>
              </w:rPr>
              <w:instrText xml:space="preserve"> PAGEREF _Toc217405482 \h </w:instrText>
            </w:r>
            <w:r>
              <w:rPr>
                <w:webHidden/>
              </w:rPr>
            </w:r>
            <w:r>
              <w:rPr>
                <w:webHidden/>
              </w:rPr>
              <w:fldChar w:fldCharType="separate"/>
            </w:r>
            <w:r>
              <w:rPr>
                <w:webHidden/>
              </w:rPr>
              <w:t>10</w:t>
            </w:r>
            <w:r>
              <w:rPr>
                <w:webHidden/>
              </w:rPr>
              <w:fldChar w:fldCharType="end"/>
            </w:r>
          </w:hyperlink>
        </w:p>
        <w:p w14:paraId="581C40F8" w14:textId="77777777" w:rsidR="00986791" w:rsidRDefault="00986791">
          <w:pPr>
            <w:pStyle w:val="TOC2"/>
            <w:rPr>
              <w:rFonts w:eastAsiaTheme="minorEastAsia"/>
              <w:kern w:val="2"/>
              <w:sz w:val="24"/>
              <w:szCs w:val="24"/>
              <w:lang w:eastAsia="en-AU"/>
              <w14:ligatures w14:val="standardContextual"/>
            </w:rPr>
          </w:pPr>
          <w:hyperlink w:anchor="_Toc217405483" w:history="1">
            <w:r w:rsidRPr="00792E35">
              <w:rPr>
                <w:rStyle w:val="Hyperlink"/>
              </w:rPr>
              <w:t>Submission requirements</w:t>
            </w:r>
            <w:r>
              <w:rPr>
                <w:webHidden/>
              </w:rPr>
              <w:tab/>
            </w:r>
            <w:r>
              <w:rPr>
                <w:webHidden/>
              </w:rPr>
              <w:fldChar w:fldCharType="begin"/>
            </w:r>
            <w:r>
              <w:rPr>
                <w:webHidden/>
              </w:rPr>
              <w:instrText xml:space="preserve"> PAGEREF _Toc217405483 \h </w:instrText>
            </w:r>
            <w:r>
              <w:rPr>
                <w:webHidden/>
              </w:rPr>
            </w:r>
            <w:r>
              <w:rPr>
                <w:webHidden/>
              </w:rPr>
              <w:fldChar w:fldCharType="separate"/>
            </w:r>
            <w:r>
              <w:rPr>
                <w:webHidden/>
              </w:rPr>
              <w:t>10</w:t>
            </w:r>
            <w:r>
              <w:rPr>
                <w:webHidden/>
              </w:rPr>
              <w:fldChar w:fldCharType="end"/>
            </w:r>
          </w:hyperlink>
        </w:p>
        <w:p w14:paraId="4EF549C7" w14:textId="77777777" w:rsidR="00986791" w:rsidRDefault="00986791">
          <w:pPr>
            <w:pStyle w:val="TOC2"/>
            <w:rPr>
              <w:rFonts w:eastAsiaTheme="minorEastAsia"/>
              <w:kern w:val="2"/>
              <w:sz w:val="24"/>
              <w:szCs w:val="24"/>
              <w:lang w:eastAsia="en-AU"/>
              <w14:ligatures w14:val="standardContextual"/>
            </w:rPr>
          </w:pPr>
          <w:hyperlink w:anchor="_Toc217405484" w:history="1">
            <w:r w:rsidRPr="00792E35">
              <w:rPr>
                <w:rStyle w:val="Hyperlink"/>
                <w:bCs/>
              </w:rPr>
              <w:t>Figure 1: Grant Assessment and Evaluation Process</w:t>
            </w:r>
            <w:r>
              <w:rPr>
                <w:webHidden/>
              </w:rPr>
              <w:tab/>
            </w:r>
            <w:r>
              <w:rPr>
                <w:webHidden/>
              </w:rPr>
              <w:fldChar w:fldCharType="begin"/>
            </w:r>
            <w:r>
              <w:rPr>
                <w:webHidden/>
              </w:rPr>
              <w:instrText xml:space="preserve"> PAGEREF _Toc217405484 \h </w:instrText>
            </w:r>
            <w:r>
              <w:rPr>
                <w:webHidden/>
              </w:rPr>
            </w:r>
            <w:r>
              <w:rPr>
                <w:webHidden/>
              </w:rPr>
              <w:fldChar w:fldCharType="separate"/>
            </w:r>
            <w:r>
              <w:rPr>
                <w:webHidden/>
              </w:rPr>
              <w:t>11</w:t>
            </w:r>
            <w:r>
              <w:rPr>
                <w:webHidden/>
              </w:rPr>
              <w:fldChar w:fldCharType="end"/>
            </w:r>
          </w:hyperlink>
        </w:p>
        <w:p w14:paraId="331C2F69" w14:textId="77777777" w:rsidR="00986791" w:rsidRDefault="00986791">
          <w:pPr>
            <w:pStyle w:val="TOC2"/>
            <w:rPr>
              <w:rFonts w:eastAsiaTheme="minorEastAsia"/>
              <w:kern w:val="2"/>
              <w:sz w:val="24"/>
              <w:szCs w:val="24"/>
              <w:lang w:eastAsia="en-AU"/>
              <w14:ligatures w14:val="standardContextual"/>
            </w:rPr>
          </w:pPr>
          <w:hyperlink w:anchor="_Toc217405485" w:history="1">
            <w:r w:rsidRPr="00792E35">
              <w:rPr>
                <w:rStyle w:val="Hyperlink"/>
              </w:rPr>
              <w:t>Project categories</w:t>
            </w:r>
            <w:r>
              <w:rPr>
                <w:webHidden/>
              </w:rPr>
              <w:tab/>
            </w:r>
            <w:r>
              <w:rPr>
                <w:webHidden/>
              </w:rPr>
              <w:fldChar w:fldCharType="begin"/>
            </w:r>
            <w:r>
              <w:rPr>
                <w:webHidden/>
              </w:rPr>
              <w:instrText xml:space="preserve"> PAGEREF _Toc217405485 \h </w:instrText>
            </w:r>
            <w:r>
              <w:rPr>
                <w:webHidden/>
              </w:rPr>
            </w:r>
            <w:r>
              <w:rPr>
                <w:webHidden/>
              </w:rPr>
              <w:fldChar w:fldCharType="separate"/>
            </w:r>
            <w:r>
              <w:rPr>
                <w:webHidden/>
              </w:rPr>
              <w:t>13</w:t>
            </w:r>
            <w:r>
              <w:rPr>
                <w:webHidden/>
              </w:rPr>
              <w:fldChar w:fldCharType="end"/>
            </w:r>
          </w:hyperlink>
        </w:p>
        <w:p w14:paraId="5B5399FF" w14:textId="77777777" w:rsidR="00986791" w:rsidRDefault="00986791">
          <w:pPr>
            <w:pStyle w:val="TOC2"/>
            <w:rPr>
              <w:rFonts w:eastAsiaTheme="minorEastAsia"/>
              <w:kern w:val="2"/>
              <w:sz w:val="24"/>
              <w:szCs w:val="24"/>
              <w:lang w:eastAsia="en-AU"/>
              <w14:ligatures w14:val="standardContextual"/>
            </w:rPr>
          </w:pPr>
          <w:hyperlink w:anchor="_Toc217405486" w:history="1">
            <w:r w:rsidRPr="00792E35">
              <w:rPr>
                <w:rStyle w:val="Hyperlink"/>
              </w:rPr>
              <w:t>Supporting documentation</w:t>
            </w:r>
            <w:r>
              <w:rPr>
                <w:webHidden/>
              </w:rPr>
              <w:tab/>
            </w:r>
            <w:r>
              <w:rPr>
                <w:webHidden/>
              </w:rPr>
              <w:fldChar w:fldCharType="begin"/>
            </w:r>
            <w:r>
              <w:rPr>
                <w:webHidden/>
              </w:rPr>
              <w:instrText xml:space="preserve"> PAGEREF _Toc217405486 \h </w:instrText>
            </w:r>
            <w:r>
              <w:rPr>
                <w:webHidden/>
              </w:rPr>
            </w:r>
            <w:r>
              <w:rPr>
                <w:webHidden/>
              </w:rPr>
              <w:fldChar w:fldCharType="separate"/>
            </w:r>
            <w:r>
              <w:rPr>
                <w:webHidden/>
              </w:rPr>
              <w:t>13</w:t>
            </w:r>
            <w:r>
              <w:rPr>
                <w:webHidden/>
              </w:rPr>
              <w:fldChar w:fldCharType="end"/>
            </w:r>
          </w:hyperlink>
        </w:p>
        <w:p w14:paraId="3147B716" w14:textId="77777777" w:rsidR="00986791" w:rsidRDefault="00986791">
          <w:pPr>
            <w:pStyle w:val="TOC2"/>
            <w:rPr>
              <w:rFonts w:eastAsiaTheme="minorEastAsia"/>
              <w:kern w:val="2"/>
              <w:sz w:val="24"/>
              <w:szCs w:val="24"/>
              <w:lang w:eastAsia="en-AU"/>
              <w14:ligatures w14:val="standardContextual"/>
            </w:rPr>
          </w:pPr>
          <w:hyperlink w:anchor="_Toc217405487" w:history="1">
            <w:r w:rsidRPr="00792E35">
              <w:rPr>
                <w:rStyle w:val="Hyperlink"/>
              </w:rPr>
              <w:t>Online portal for submissions</w:t>
            </w:r>
            <w:r>
              <w:rPr>
                <w:webHidden/>
              </w:rPr>
              <w:tab/>
            </w:r>
            <w:r>
              <w:rPr>
                <w:webHidden/>
              </w:rPr>
              <w:fldChar w:fldCharType="begin"/>
            </w:r>
            <w:r>
              <w:rPr>
                <w:webHidden/>
              </w:rPr>
              <w:instrText xml:space="preserve"> PAGEREF _Toc217405487 \h </w:instrText>
            </w:r>
            <w:r>
              <w:rPr>
                <w:webHidden/>
              </w:rPr>
            </w:r>
            <w:r>
              <w:rPr>
                <w:webHidden/>
              </w:rPr>
              <w:fldChar w:fldCharType="separate"/>
            </w:r>
            <w:r>
              <w:rPr>
                <w:webHidden/>
              </w:rPr>
              <w:t>14</w:t>
            </w:r>
            <w:r>
              <w:rPr>
                <w:webHidden/>
              </w:rPr>
              <w:fldChar w:fldCharType="end"/>
            </w:r>
          </w:hyperlink>
        </w:p>
        <w:p w14:paraId="27478C9A" w14:textId="77777777" w:rsidR="00986791" w:rsidRDefault="00986791">
          <w:pPr>
            <w:pStyle w:val="TOC3"/>
            <w:rPr>
              <w:rFonts w:eastAsiaTheme="minorEastAsia"/>
              <w:kern w:val="2"/>
              <w:sz w:val="24"/>
              <w:szCs w:val="24"/>
              <w:lang w:eastAsia="en-AU"/>
              <w14:ligatures w14:val="standardContextual"/>
            </w:rPr>
          </w:pPr>
          <w:hyperlink w:anchor="_Toc217405488" w:history="1">
            <w:r w:rsidRPr="00792E35">
              <w:rPr>
                <w:rStyle w:val="Hyperlink"/>
                <w:rFonts w:eastAsia="MS Gothic"/>
              </w:rPr>
              <w:t>Consultation and advice</w:t>
            </w:r>
            <w:r>
              <w:rPr>
                <w:webHidden/>
              </w:rPr>
              <w:tab/>
            </w:r>
            <w:r>
              <w:rPr>
                <w:webHidden/>
              </w:rPr>
              <w:fldChar w:fldCharType="begin"/>
            </w:r>
            <w:r>
              <w:rPr>
                <w:webHidden/>
              </w:rPr>
              <w:instrText xml:space="preserve"> PAGEREF _Toc217405488 \h </w:instrText>
            </w:r>
            <w:r>
              <w:rPr>
                <w:webHidden/>
              </w:rPr>
            </w:r>
            <w:r>
              <w:rPr>
                <w:webHidden/>
              </w:rPr>
              <w:fldChar w:fldCharType="separate"/>
            </w:r>
            <w:r>
              <w:rPr>
                <w:webHidden/>
              </w:rPr>
              <w:t>14</w:t>
            </w:r>
            <w:r>
              <w:rPr>
                <w:webHidden/>
              </w:rPr>
              <w:fldChar w:fldCharType="end"/>
            </w:r>
          </w:hyperlink>
        </w:p>
        <w:p w14:paraId="7EE9BFF7" w14:textId="77777777" w:rsidR="00986791" w:rsidRDefault="00986791">
          <w:pPr>
            <w:pStyle w:val="TOC3"/>
            <w:rPr>
              <w:rFonts w:eastAsiaTheme="minorEastAsia"/>
              <w:kern w:val="2"/>
              <w:sz w:val="24"/>
              <w:szCs w:val="24"/>
              <w:lang w:eastAsia="en-AU"/>
              <w14:ligatures w14:val="standardContextual"/>
            </w:rPr>
          </w:pPr>
          <w:hyperlink w:anchor="_Toc217405489" w:history="1">
            <w:r w:rsidRPr="00792E35">
              <w:rPr>
                <w:rStyle w:val="Hyperlink"/>
                <w:rFonts w:eastAsia="MS Gothic"/>
              </w:rPr>
              <w:t>Design guides and technical references</w:t>
            </w:r>
            <w:r>
              <w:rPr>
                <w:webHidden/>
              </w:rPr>
              <w:tab/>
            </w:r>
            <w:r>
              <w:rPr>
                <w:webHidden/>
              </w:rPr>
              <w:fldChar w:fldCharType="begin"/>
            </w:r>
            <w:r>
              <w:rPr>
                <w:webHidden/>
              </w:rPr>
              <w:instrText xml:space="preserve"> PAGEREF _Toc217405489 \h </w:instrText>
            </w:r>
            <w:r>
              <w:rPr>
                <w:webHidden/>
              </w:rPr>
            </w:r>
            <w:r>
              <w:rPr>
                <w:webHidden/>
              </w:rPr>
              <w:fldChar w:fldCharType="separate"/>
            </w:r>
            <w:r>
              <w:rPr>
                <w:webHidden/>
              </w:rPr>
              <w:t>14</w:t>
            </w:r>
            <w:r>
              <w:rPr>
                <w:webHidden/>
              </w:rPr>
              <w:fldChar w:fldCharType="end"/>
            </w:r>
          </w:hyperlink>
        </w:p>
        <w:p w14:paraId="687666A2" w14:textId="77777777" w:rsidR="00986791" w:rsidRDefault="00986791">
          <w:pPr>
            <w:pStyle w:val="TOC1"/>
            <w:rPr>
              <w:rFonts w:eastAsiaTheme="minorEastAsia"/>
              <w:b w:val="0"/>
              <w:kern w:val="2"/>
              <w:sz w:val="24"/>
              <w:szCs w:val="24"/>
              <w:lang w:eastAsia="en-AU"/>
              <w14:ligatures w14:val="standardContextual"/>
            </w:rPr>
          </w:pPr>
          <w:hyperlink w:anchor="_Toc217405490" w:history="1">
            <w:r w:rsidRPr="00792E35">
              <w:rPr>
                <w:rStyle w:val="Hyperlink"/>
                <w:rFonts w:eastAsia="Times New Roman"/>
              </w:rPr>
              <w:t>Assessment criteria</w:t>
            </w:r>
            <w:r>
              <w:rPr>
                <w:webHidden/>
              </w:rPr>
              <w:tab/>
            </w:r>
            <w:r>
              <w:rPr>
                <w:webHidden/>
              </w:rPr>
              <w:fldChar w:fldCharType="begin"/>
            </w:r>
            <w:r>
              <w:rPr>
                <w:webHidden/>
              </w:rPr>
              <w:instrText xml:space="preserve"> PAGEREF _Toc217405490 \h </w:instrText>
            </w:r>
            <w:r>
              <w:rPr>
                <w:webHidden/>
              </w:rPr>
            </w:r>
            <w:r>
              <w:rPr>
                <w:webHidden/>
              </w:rPr>
              <w:fldChar w:fldCharType="separate"/>
            </w:r>
            <w:r>
              <w:rPr>
                <w:webHidden/>
              </w:rPr>
              <w:t>15</w:t>
            </w:r>
            <w:r>
              <w:rPr>
                <w:webHidden/>
              </w:rPr>
              <w:fldChar w:fldCharType="end"/>
            </w:r>
          </w:hyperlink>
        </w:p>
        <w:p w14:paraId="214C3117" w14:textId="77777777" w:rsidR="00986791" w:rsidRDefault="00986791">
          <w:pPr>
            <w:pStyle w:val="TOC2"/>
            <w:rPr>
              <w:rFonts w:eastAsiaTheme="minorEastAsia"/>
              <w:kern w:val="2"/>
              <w:sz w:val="24"/>
              <w:szCs w:val="24"/>
              <w:lang w:eastAsia="en-AU"/>
              <w14:ligatures w14:val="standardContextual"/>
            </w:rPr>
          </w:pPr>
          <w:hyperlink w:anchor="_Toc217405491" w:history="1">
            <w:r w:rsidRPr="00792E35">
              <w:rPr>
                <w:rStyle w:val="Hyperlink"/>
                <w:rFonts w:eastAsia="Arial"/>
              </w:rPr>
              <w:t>Table 3: Assessment criteria</w:t>
            </w:r>
            <w:r>
              <w:rPr>
                <w:webHidden/>
              </w:rPr>
              <w:tab/>
            </w:r>
            <w:r>
              <w:rPr>
                <w:webHidden/>
              </w:rPr>
              <w:fldChar w:fldCharType="begin"/>
            </w:r>
            <w:r>
              <w:rPr>
                <w:webHidden/>
              </w:rPr>
              <w:instrText xml:space="preserve"> PAGEREF _Toc217405491 \h </w:instrText>
            </w:r>
            <w:r>
              <w:rPr>
                <w:webHidden/>
              </w:rPr>
            </w:r>
            <w:r>
              <w:rPr>
                <w:webHidden/>
              </w:rPr>
              <w:fldChar w:fldCharType="separate"/>
            </w:r>
            <w:r>
              <w:rPr>
                <w:webHidden/>
              </w:rPr>
              <w:t>15</w:t>
            </w:r>
            <w:r>
              <w:rPr>
                <w:webHidden/>
              </w:rPr>
              <w:fldChar w:fldCharType="end"/>
            </w:r>
          </w:hyperlink>
        </w:p>
        <w:p w14:paraId="030409D7" w14:textId="77777777" w:rsidR="00986791" w:rsidRDefault="00986791">
          <w:pPr>
            <w:pStyle w:val="TOC2"/>
            <w:rPr>
              <w:rFonts w:eastAsiaTheme="minorEastAsia"/>
              <w:kern w:val="2"/>
              <w:sz w:val="24"/>
              <w:szCs w:val="24"/>
              <w:lang w:eastAsia="en-AU"/>
              <w14:ligatures w14:val="standardContextual"/>
            </w:rPr>
          </w:pPr>
          <w:hyperlink w:anchor="_Toc217405492" w:history="1">
            <w:r w:rsidRPr="00792E35">
              <w:rPr>
                <w:rStyle w:val="Hyperlink"/>
              </w:rPr>
              <w:t>Buildability of capital/construction projects</w:t>
            </w:r>
            <w:r>
              <w:rPr>
                <w:webHidden/>
              </w:rPr>
              <w:tab/>
            </w:r>
            <w:r>
              <w:rPr>
                <w:webHidden/>
              </w:rPr>
              <w:fldChar w:fldCharType="begin"/>
            </w:r>
            <w:r>
              <w:rPr>
                <w:webHidden/>
              </w:rPr>
              <w:instrText xml:space="preserve"> PAGEREF _Toc217405492 \h </w:instrText>
            </w:r>
            <w:r>
              <w:rPr>
                <w:webHidden/>
              </w:rPr>
            </w:r>
            <w:r>
              <w:rPr>
                <w:webHidden/>
              </w:rPr>
              <w:fldChar w:fldCharType="separate"/>
            </w:r>
            <w:r>
              <w:rPr>
                <w:webHidden/>
              </w:rPr>
              <w:t>16</w:t>
            </w:r>
            <w:r>
              <w:rPr>
                <w:webHidden/>
              </w:rPr>
              <w:fldChar w:fldCharType="end"/>
            </w:r>
          </w:hyperlink>
        </w:p>
        <w:p w14:paraId="4CFA1F59" w14:textId="77777777" w:rsidR="00986791" w:rsidRDefault="00986791">
          <w:pPr>
            <w:pStyle w:val="TOC2"/>
            <w:rPr>
              <w:rFonts w:eastAsiaTheme="minorEastAsia"/>
              <w:kern w:val="2"/>
              <w:sz w:val="24"/>
              <w:szCs w:val="24"/>
              <w:lang w:eastAsia="en-AU"/>
              <w14:ligatures w14:val="standardContextual"/>
            </w:rPr>
          </w:pPr>
          <w:hyperlink w:anchor="_Toc217405493" w:history="1">
            <w:r w:rsidRPr="00792E35">
              <w:rPr>
                <w:rStyle w:val="Hyperlink"/>
              </w:rPr>
              <w:t>Sustainability</w:t>
            </w:r>
            <w:r>
              <w:rPr>
                <w:webHidden/>
              </w:rPr>
              <w:tab/>
            </w:r>
            <w:r>
              <w:rPr>
                <w:webHidden/>
              </w:rPr>
              <w:fldChar w:fldCharType="begin"/>
            </w:r>
            <w:r>
              <w:rPr>
                <w:webHidden/>
              </w:rPr>
              <w:instrText xml:space="preserve"> PAGEREF _Toc217405493 \h </w:instrText>
            </w:r>
            <w:r>
              <w:rPr>
                <w:webHidden/>
              </w:rPr>
            </w:r>
            <w:r>
              <w:rPr>
                <w:webHidden/>
              </w:rPr>
              <w:fldChar w:fldCharType="separate"/>
            </w:r>
            <w:r>
              <w:rPr>
                <w:webHidden/>
              </w:rPr>
              <w:t>16</w:t>
            </w:r>
            <w:r>
              <w:rPr>
                <w:webHidden/>
              </w:rPr>
              <w:fldChar w:fldCharType="end"/>
            </w:r>
          </w:hyperlink>
        </w:p>
        <w:p w14:paraId="3291738D" w14:textId="77777777" w:rsidR="00986791" w:rsidRDefault="00986791">
          <w:pPr>
            <w:pStyle w:val="TOC1"/>
            <w:rPr>
              <w:rFonts w:eastAsiaTheme="minorEastAsia"/>
              <w:b w:val="0"/>
              <w:kern w:val="2"/>
              <w:sz w:val="24"/>
              <w:szCs w:val="24"/>
              <w:lang w:eastAsia="en-AU"/>
              <w14:ligatures w14:val="standardContextual"/>
            </w:rPr>
          </w:pPr>
          <w:hyperlink w:anchor="_Toc217405494" w:history="1">
            <w:r w:rsidRPr="00792E35">
              <w:rPr>
                <w:rStyle w:val="Hyperlink"/>
              </w:rPr>
              <w:t>Conditions of funding</w:t>
            </w:r>
            <w:r>
              <w:rPr>
                <w:webHidden/>
              </w:rPr>
              <w:tab/>
            </w:r>
            <w:r>
              <w:rPr>
                <w:webHidden/>
              </w:rPr>
              <w:fldChar w:fldCharType="begin"/>
            </w:r>
            <w:r>
              <w:rPr>
                <w:webHidden/>
              </w:rPr>
              <w:instrText xml:space="preserve"> PAGEREF _Toc217405494 \h </w:instrText>
            </w:r>
            <w:r>
              <w:rPr>
                <w:webHidden/>
              </w:rPr>
            </w:r>
            <w:r>
              <w:rPr>
                <w:webHidden/>
              </w:rPr>
              <w:fldChar w:fldCharType="separate"/>
            </w:r>
            <w:r>
              <w:rPr>
                <w:webHidden/>
              </w:rPr>
              <w:t>17</w:t>
            </w:r>
            <w:r>
              <w:rPr>
                <w:webHidden/>
              </w:rPr>
              <w:fldChar w:fldCharType="end"/>
            </w:r>
          </w:hyperlink>
        </w:p>
        <w:p w14:paraId="110AA704" w14:textId="77777777" w:rsidR="00986791" w:rsidRDefault="00986791">
          <w:pPr>
            <w:pStyle w:val="TOC2"/>
            <w:rPr>
              <w:rFonts w:eastAsiaTheme="minorEastAsia"/>
              <w:kern w:val="2"/>
              <w:sz w:val="24"/>
              <w:szCs w:val="24"/>
              <w:lang w:eastAsia="en-AU"/>
              <w14:ligatures w14:val="standardContextual"/>
            </w:rPr>
          </w:pPr>
          <w:hyperlink w:anchor="_Toc217405495" w:history="1">
            <w:r w:rsidRPr="00792E35">
              <w:rPr>
                <w:rStyle w:val="Hyperlink"/>
              </w:rPr>
              <w:t>Asset management</w:t>
            </w:r>
            <w:r>
              <w:rPr>
                <w:webHidden/>
              </w:rPr>
              <w:tab/>
            </w:r>
            <w:r>
              <w:rPr>
                <w:webHidden/>
              </w:rPr>
              <w:fldChar w:fldCharType="begin"/>
            </w:r>
            <w:r>
              <w:rPr>
                <w:webHidden/>
              </w:rPr>
              <w:instrText xml:space="preserve"> PAGEREF _Toc217405495 \h </w:instrText>
            </w:r>
            <w:r>
              <w:rPr>
                <w:webHidden/>
              </w:rPr>
            </w:r>
            <w:r>
              <w:rPr>
                <w:webHidden/>
              </w:rPr>
              <w:fldChar w:fldCharType="separate"/>
            </w:r>
            <w:r>
              <w:rPr>
                <w:webHidden/>
              </w:rPr>
              <w:t>17</w:t>
            </w:r>
            <w:r>
              <w:rPr>
                <w:webHidden/>
              </w:rPr>
              <w:fldChar w:fldCharType="end"/>
            </w:r>
          </w:hyperlink>
        </w:p>
        <w:p w14:paraId="60B6002B" w14:textId="77777777" w:rsidR="00986791" w:rsidRDefault="00986791">
          <w:pPr>
            <w:pStyle w:val="TOC2"/>
            <w:rPr>
              <w:rFonts w:eastAsiaTheme="minorEastAsia"/>
              <w:kern w:val="2"/>
              <w:sz w:val="24"/>
              <w:szCs w:val="24"/>
              <w:lang w:eastAsia="en-AU"/>
              <w14:ligatures w14:val="standardContextual"/>
            </w:rPr>
          </w:pPr>
          <w:hyperlink w:anchor="_Toc217405496" w:history="1">
            <w:r w:rsidRPr="00792E35">
              <w:rPr>
                <w:rStyle w:val="Hyperlink"/>
              </w:rPr>
              <w:t>Governance</w:t>
            </w:r>
            <w:r>
              <w:rPr>
                <w:webHidden/>
              </w:rPr>
              <w:tab/>
            </w:r>
            <w:r>
              <w:rPr>
                <w:webHidden/>
              </w:rPr>
              <w:fldChar w:fldCharType="begin"/>
            </w:r>
            <w:r>
              <w:rPr>
                <w:webHidden/>
              </w:rPr>
              <w:instrText xml:space="preserve"> PAGEREF _Toc217405496 \h </w:instrText>
            </w:r>
            <w:r>
              <w:rPr>
                <w:webHidden/>
              </w:rPr>
            </w:r>
            <w:r>
              <w:rPr>
                <w:webHidden/>
              </w:rPr>
              <w:fldChar w:fldCharType="separate"/>
            </w:r>
            <w:r>
              <w:rPr>
                <w:webHidden/>
              </w:rPr>
              <w:t>18</w:t>
            </w:r>
            <w:r>
              <w:rPr>
                <w:webHidden/>
              </w:rPr>
              <w:fldChar w:fldCharType="end"/>
            </w:r>
          </w:hyperlink>
        </w:p>
        <w:p w14:paraId="413168E8" w14:textId="77777777" w:rsidR="00986791" w:rsidRDefault="00986791">
          <w:pPr>
            <w:pStyle w:val="TOC2"/>
            <w:rPr>
              <w:rFonts w:eastAsiaTheme="minorEastAsia"/>
              <w:kern w:val="2"/>
              <w:sz w:val="24"/>
              <w:szCs w:val="24"/>
              <w:lang w:eastAsia="en-AU"/>
              <w14:ligatures w14:val="standardContextual"/>
            </w:rPr>
          </w:pPr>
          <w:hyperlink w:anchor="_Toc217405497" w:history="1">
            <w:r w:rsidRPr="00792E35">
              <w:rPr>
                <w:rStyle w:val="Hyperlink"/>
                <w:rFonts w:ascii="Arial" w:eastAsia="Arial" w:hAnsi="Arial" w:cs="Arial"/>
              </w:rPr>
              <w:t>Assessment Outcome and Payment Milestones</w:t>
            </w:r>
            <w:r>
              <w:rPr>
                <w:webHidden/>
              </w:rPr>
              <w:tab/>
            </w:r>
            <w:r>
              <w:rPr>
                <w:webHidden/>
              </w:rPr>
              <w:fldChar w:fldCharType="begin"/>
            </w:r>
            <w:r>
              <w:rPr>
                <w:webHidden/>
              </w:rPr>
              <w:instrText xml:space="preserve"> PAGEREF _Toc217405497 \h </w:instrText>
            </w:r>
            <w:r>
              <w:rPr>
                <w:webHidden/>
              </w:rPr>
            </w:r>
            <w:r>
              <w:rPr>
                <w:webHidden/>
              </w:rPr>
              <w:fldChar w:fldCharType="separate"/>
            </w:r>
            <w:r>
              <w:rPr>
                <w:webHidden/>
              </w:rPr>
              <w:t>18</w:t>
            </w:r>
            <w:r>
              <w:rPr>
                <w:webHidden/>
              </w:rPr>
              <w:fldChar w:fldCharType="end"/>
            </w:r>
          </w:hyperlink>
        </w:p>
        <w:p w14:paraId="1F926CB7" w14:textId="77777777" w:rsidR="00986791" w:rsidRDefault="00986791">
          <w:pPr>
            <w:pStyle w:val="TOC2"/>
            <w:rPr>
              <w:rFonts w:eastAsiaTheme="minorEastAsia"/>
              <w:kern w:val="2"/>
              <w:sz w:val="24"/>
              <w:szCs w:val="24"/>
              <w:lang w:eastAsia="en-AU"/>
              <w14:ligatures w14:val="standardContextual"/>
            </w:rPr>
          </w:pPr>
          <w:hyperlink w:anchor="_Toc217405498" w:history="1">
            <w:r w:rsidRPr="00792E35">
              <w:rPr>
                <w:rStyle w:val="Hyperlink"/>
              </w:rPr>
              <w:t>Reporting</w:t>
            </w:r>
            <w:r>
              <w:rPr>
                <w:webHidden/>
              </w:rPr>
              <w:tab/>
            </w:r>
            <w:r>
              <w:rPr>
                <w:webHidden/>
              </w:rPr>
              <w:fldChar w:fldCharType="begin"/>
            </w:r>
            <w:r>
              <w:rPr>
                <w:webHidden/>
              </w:rPr>
              <w:instrText xml:space="preserve"> PAGEREF _Toc217405498 \h </w:instrText>
            </w:r>
            <w:r>
              <w:rPr>
                <w:webHidden/>
              </w:rPr>
            </w:r>
            <w:r>
              <w:rPr>
                <w:webHidden/>
              </w:rPr>
              <w:fldChar w:fldCharType="separate"/>
            </w:r>
            <w:r>
              <w:rPr>
                <w:webHidden/>
              </w:rPr>
              <w:t>18</w:t>
            </w:r>
            <w:r>
              <w:rPr>
                <w:webHidden/>
              </w:rPr>
              <w:fldChar w:fldCharType="end"/>
            </w:r>
          </w:hyperlink>
        </w:p>
        <w:p w14:paraId="4F61798D" w14:textId="77777777" w:rsidR="00986791" w:rsidRDefault="00986791">
          <w:pPr>
            <w:pStyle w:val="TOC2"/>
            <w:rPr>
              <w:rFonts w:eastAsiaTheme="minorEastAsia"/>
              <w:kern w:val="2"/>
              <w:sz w:val="24"/>
              <w:szCs w:val="24"/>
              <w:lang w:eastAsia="en-AU"/>
              <w14:ligatures w14:val="standardContextual"/>
            </w:rPr>
          </w:pPr>
          <w:hyperlink w:anchor="_Toc217405499" w:history="1">
            <w:r w:rsidRPr="00792E35">
              <w:rPr>
                <w:rStyle w:val="Hyperlink"/>
              </w:rPr>
              <w:t>Procurement</w:t>
            </w:r>
            <w:r>
              <w:rPr>
                <w:webHidden/>
              </w:rPr>
              <w:tab/>
            </w:r>
            <w:r>
              <w:rPr>
                <w:webHidden/>
              </w:rPr>
              <w:fldChar w:fldCharType="begin"/>
            </w:r>
            <w:r>
              <w:rPr>
                <w:webHidden/>
              </w:rPr>
              <w:instrText xml:space="preserve"> PAGEREF _Toc217405499 \h </w:instrText>
            </w:r>
            <w:r>
              <w:rPr>
                <w:webHidden/>
              </w:rPr>
            </w:r>
            <w:r>
              <w:rPr>
                <w:webHidden/>
              </w:rPr>
              <w:fldChar w:fldCharType="separate"/>
            </w:r>
            <w:r>
              <w:rPr>
                <w:webHidden/>
              </w:rPr>
              <w:t>19</w:t>
            </w:r>
            <w:r>
              <w:rPr>
                <w:webHidden/>
              </w:rPr>
              <w:fldChar w:fldCharType="end"/>
            </w:r>
          </w:hyperlink>
        </w:p>
        <w:p w14:paraId="69810497" w14:textId="77777777" w:rsidR="00986791" w:rsidRDefault="00986791">
          <w:pPr>
            <w:pStyle w:val="TOC2"/>
            <w:rPr>
              <w:rFonts w:eastAsiaTheme="minorEastAsia"/>
              <w:kern w:val="2"/>
              <w:sz w:val="24"/>
              <w:szCs w:val="24"/>
              <w:lang w:eastAsia="en-AU"/>
              <w14:ligatures w14:val="standardContextual"/>
            </w:rPr>
          </w:pPr>
          <w:hyperlink w:anchor="_Toc217405500" w:history="1">
            <w:r w:rsidRPr="00792E35">
              <w:rPr>
                <w:rStyle w:val="Hyperlink"/>
                <w:rFonts w:eastAsia="MS Mincho"/>
              </w:rPr>
              <w:t>Disposal</w:t>
            </w:r>
            <w:r>
              <w:rPr>
                <w:webHidden/>
              </w:rPr>
              <w:tab/>
            </w:r>
            <w:r>
              <w:rPr>
                <w:webHidden/>
              </w:rPr>
              <w:fldChar w:fldCharType="begin"/>
            </w:r>
            <w:r>
              <w:rPr>
                <w:webHidden/>
              </w:rPr>
              <w:instrText xml:space="preserve"> PAGEREF _Toc217405500 \h </w:instrText>
            </w:r>
            <w:r>
              <w:rPr>
                <w:webHidden/>
              </w:rPr>
            </w:r>
            <w:r>
              <w:rPr>
                <w:webHidden/>
              </w:rPr>
              <w:fldChar w:fldCharType="separate"/>
            </w:r>
            <w:r>
              <w:rPr>
                <w:webHidden/>
              </w:rPr>
              <w:t>19</w:t>
            </w:r>
            <w:r>
              <w:rPr>
                <w:webHidden/>
              </w:rPr>
              <w:fldChar w:fldCharType="end"/>
            </w:r>
          </w:hyperlink>
        </w:p>
        <w:p w14:paraId="159A040D" w14:textId="77777777" w:rsidR="00986791" w:rsidRDefault="00986791">
          <w:pPr>
            <w:pStyle w:val="TOC1"/>
            <w:tabs>
              <w:tab w:val="left" w:pos="1531"/>
            </w:tabs>
            <w:rPr>
              <w:rFonts w:eastAsiaTheme="minorEastAsia"/>
              <w:b w:val="0"/>
              <w:kern w:val="2"/>
              <w:sz w:val="24"/>
              <w:szCs w:val="24"/>
              <w:lang w:eastAsia="en-AU"/>
              <w14:ligatures w14:val="standardContextual"/>
            </w:rPr>
          </w:pPr>
          <w:hyperlink w:anchor="_Toc217405501" w:history="1">
            <w:r w:rsidRPr="00792E35">
              <w:rPr>
                <w:rStyle w:val="Hyperlink"/>
              </w:rPr>
              <w:t>Appendix A</w:t>
            </w:r>
            <w:r>
              <w:rPr>
                <w:rFonts w:eastAsiaTheme="minorEastAsia"/>
                <w:b w:val="0"/>
                <w:kern w:val="2"/>
                <w:sz w:val="24"/>
                <w:szCs w:val="24"/>
                <w:lang w:eastAsia="en-AU"/>
                <w14:ligatures w14:val="standardContextual"/>
              </w:rPr>
              <w:tab/>
            </w:r>
            <w:r w:rsidRPr="00792E35">
              <w:rPr>
                <w:rStyle w:val="Hyperlink"/>
              </w:rPr>
              <w:t>Eligible health services</w:t>
            </w:r>
            <w:r>
              <w:rPr>
                <w:webHidden/>
              </w:rPr>
              <w:tab/>
            </w:r>
            <w:r>
              <w:rPr>
                <w:webHidden/>
              </w:rPr>
              <w:fldChar w:fldCharType="begin"/>
            </w:r>
            <w:r>
              <w:rPr>
                <w:webHidden/>
              </w:rPr>
              <w:instrText xml:space="preserve"> PAGEREF _Toc217405501 \h </w:instrText>
            </w:r>
            <w:r>
              <w:rPr>
                <w:webHidden/>
              </w:rPr>
            </w:r>
            <w:r>
              <w:rPr>
                <w:webHidden/>
              </w:rPr>
              <w:fldChar w:fldCharType="separate"/>
            </w:r>
            <w:r>
              <w:rPr>
                <w:webHidden/>
              </w:rPr>
              <w:t>20</w:t>
            </w:r>
            <w:r>
              <w:rPr>
                <w:webHidden/>
              </w:rPr>
              <w:fldChar w:fldCharType="end"/>
            </w:r>
          </w:hyperlink>
        </w:p>
        <w:p w14:paraId="509A2F7A" w14:textId="77777777" w:rsidR="00986791" w:rsidRDefault="00986791">
          <w:pPr>
            <w:pStyle w:val="TOC2"/>
            <w:rPr>
              <w:rFonts w:eastAsiaTheme="minorEastAsia"/>
              <w:kern w:val="2"/>
              <w:sz w:val="24"/>
              <w:szCs w:val="24"/>
              <w:lang w:eastAsia="en-AU"/>
              <w14:ligatures w14:val="standardContextual"/>
            </w:rPr>
          </w:pPr>
          <w:hyperlink w:anchor="_Toc217405502" w:history="1">
            <w:r w:rsidRPr="00792E35">
              <w:rPr>
                <w:rStyle w:val="Hyperlink"/>
                <w:rFonts w:ascii="Aptos Display" w:eastAsia="Aptos Display" w:hAnsi="Aptos Display" w:cs="Aptos Display"/>
                <w:bCs/>
              </w:rPr>
              <w:t>Regional (6)</w:t>
            </w:r>
            <w:r>
              <w:rPr>
                <w:webHidden/>
              </w:rPr>
              <w:tab/>
            </w:r>
            <w:r>
              <w:rPr>
                <w:webHidden/>
              </w:rPr>
              <w:fldChar w:fldCharType="begin"/>
            </w:r>
            <w:r>
              <w:rPr>
                <w:webHidden/>
              </w:rPr>
              <w:instrText xml:space="preserve"> PAGEREF _Toc217405502 \h </w:instrText>
            </w:r>
            <w:r>
              <w:rPr>
                <w:webHidden/>
              </w:rPr>
            </w:r>
            <w:r>
              <w:rPr>
                <w:webHidden/>
              </w:rPr>
              <w:fldChar w:fldCharType="separate"/>
            </w:r>
            <w:r>
              <w:rPr>
                <w:webHidden/>
              </w:rPr>
              <w:t>20</w:t>
            </w:r>
            <w:r>
              <w:rPr>
                <w:webHidden/>
              </w:rPr>
              <w:fldChar w:fldCharType="end"/>
            </w:r>
          </w:hyperlink>
        </w:p>
        <w:p w14:paraId="461C4378" w14:textId="77777777" w:rsidR="00986791" w:rsidRDefault="00986791">
          <w:pPr>
            <w:pStyle w:val="TOC2"/>
            <w:rPr>
              <w:rFonts w:eastAsiaTheme="minorEastAsia"/>
              <w:kern w:val="2"/>
              <w:sz w:val="24"/>
              <w:szCs w:val="24"/>
              <w:lang w:eastAsia="en-AU"/>
              <w14:ligatures w14:val="standardContextual"/>
            </w:rPr>
          </w:pPr>
          <w:hyperlink w:anchor="_Toc217405503" w:history="1">
            <w:r w:rsidRPr="00792E35">
              <w:rPr>
                <w:rStyle w:val="Hyperlink"/>
                <w:rFonts w:ascii="Aptos Display" w:eastAsia="Aptos Display" w:hAnsi="Aptos Display" w:cs="Aptos Display"/>
                <w:bCs/>
              </w:rPr>
              <w:t>Sub-regional (11)</w:t>
            </w:r>
            <w:r>
              <w:rPr>
                <w:webHidden/>
              </w:rPr>
              <w:tab/>
            </w:r>
            <w:r>
              <w:rPr>
                <w:webHidden/>
              </w:rPr>
              <w:fldChar w:fldCharType="begin"/>
            </w:r>
            <w:r>
              <w:rPr>
                <w:webHidden/>
              </w:rPr>
              <w:instrText xml:space="preserve"> PAGEREF _Toc217405503 \h </w:instrText>
            </w:r>
            <w:r>
              <w:rPr>
                <w:webHidden/>
              </w:rPr>
            </w:r>
            <w:r>
              <w:rPr>
                <w:webHidden/>
              </w:rPr>
              <w:fldChar w:fldCharType="separate"/>
            </w:r>
            <w:r>
              <w:rPr>
                <w:webHidden/>
              </w:rPr>
              <w:t>20</w:t>
            </w:r>
            <w:r>
              <w:rPr>
                <w:webHidden/>
              </w:rPr>
              <w:fldChar w:fldCharType="end"/>
            </w:r>
          </w:hyperlink>
        </w:p>
        <w:p w14:paraId="45553EDD" w14:textId="77777777" w:rsidR="00986791" w:rsidRDefault="00986791">
          <w:pPr>
            <w:pStyle w:val="TOC2"/>
            <w:rPr>
              <w:rFonts w:eastAsiaTheme="minorEastAsia"/>
              <w:kern w:val="2"/>
              <w:sz w:val="24"/>
              <w:szCs w:val="24"/>
              <w:lang w:eastAsia="en-AU"/>
              <w14:ligatures w14:val="standardContextual"/>
            </w:rPr>
          </w:pPr>
          <w:hyperlink w:anchor="_Toc217405504" w:history="1">
            <w:r w:rsidRPr="00792E35">
              <w:rPr>
                <w:rStyle w:val="Hyperlink"/>
                <w:rFonts w:ascii="Aptos Display" w:eastAsia="Aptos Display" w:hAnsi="Aptos Display" w:cs="Aptos Display"/>
                <w:bCs/>
              </w:rPr>
              <w:t>Local Health Services (7)</w:t>
            </w:r>
            <w:r>
              <w:rPr>
                <w:webHidden/>
              </w:rPr>
              <w:tab/>
            </w:r>
            <w:r>
              <w:rPr>
                <w:webHidden/>
              </w:rPr>
              <w:fldChar w:fldCharType="begin"/>
            </w:r>
            <w:r>
              <w:rPr>
                <w:webHidden/>
              </w:rPr>
              <w:instrText xml:space="preserve"> PAGEREF _Toc217405504 \h </w:instrText>
            </w:r>
            <w:r>
              <w:rPr>
                <w:webHidden/>
              </w:rPr>
            </w:r>
            <w:r>
              <w:rPr>
                <w:webHidden/>
              </w:rPr>
              <w:fldChar w:fldCharType="separate"/>
            </w:r>
            <w:r>
              <w:rPr>
                <w:webHidden/>
              </w:rPr>
              <w:t>20</w:t>
            </w:r>
            <w:r>
              <w:rPr>
                <w:webHidden/>
              </w:rPr>
              <w:fldChar w:fldCharType="end"/>
            </w:r>
          </w:hyperlink>
        </w:p>
        <w:p w14:paraId="7259902E" w14:textId="77777777" w:rsidR="00986791" w:rsidRDefault="00986791">
          <w:pPr>
            <w:pStyle w:val="TOC2"/>
            <w:rPr>
              <w:rFonts w:eastAsiaTheme="minorEastAsia"/>
              <w:kern w:val="2"/>
              <w:sz w:val="24"/>
              <w:szCs w:val="24"/>
              <w:lang w:eastAsia="en-AU"/>
              <w14:ligatures w14:val="standardContextual"/>
            </w:rPr>
          </w:pPr>
          <w:hyperlink w:anchor="_Toc217405505" w:history="1">
            <w:r w:rsidRPr="00792E35">
              <w:rPr>
                <w:rStyle w:val="Hyperlink"/>
                <w:rFonts w:ascii="Aptos Display" w:eastAsia="Aptos Display" w:hAnsi="Aptos Display" w:cs="Aptos Display"/>
                <w:bCs/>
              </w:rPr>
              <w:t>Small Rural Health Services (30)</w:t>
            </w:r>
            <w:r>
              <w:rPr>
                <w:webHidden/>
              </w:rPr>
              <w:tab/>
            </w:r>
            <w:r>
              <w:rPr>
                <w:webHidden/>
              </w:rPr>
              <w:fldChar w:fldCharType="begin"/>
            </w:r>
            <w:r>
              <w:rPr>
                <w:webHidden/>
              </w:rPr>
              <w:instrText xml:space="preserve"> PAGEREF _Toc217405505 \h </w:instrText>
            </w:r>
            <w:r>
              <w:rPr>
                <w:webHidden/>
              </w:rPr>
            </w:r>
            <w:r>
              <w:rPr>
                <w:webHidden/>
              </w:rPr>
              <w:fldChar w:fldCharType="separate"/>
            </w:r>
            <w:r>
              <w:rPr>
                <w:webHidden/>
              </w:rPr>
              <w:t>20</w:t>
            </w:r>
            <w:r>
              <w:rPr>
                <w:webHidden/>
              </w:rPr>
              <w:fldChar w:fldCharType="end"/>
            </w:r>
          </w:hyperlink>
        </w:p>
        <w:p w14:paraId="70FD2420" w14:textId="77777777" w:rsidR="00986791" w:rsidRDefault="00986791">
          <w:pPr>
            <w:pStyle w:val="TOC2"/>
            <w:rPr>
              <w:rFonts w:eastAsiaTheme="minorEastAsia"/>
              <w:kern w:val="2"/>
              <w:sz w:val="24"/>
              <w:szCs w:val="24"/>
              <w:lang w:eastAsia="en-AU"/>
              <w14:ligatures w14:val="standardContextual"/>
            </w:rPr>
          </w:pPr>
          <w:hyperlink w:anchor="_Toc217405506" w:history="1">
            <w:r w:rsidRPr="00792E35">
              <w:rPr>
                <w:rStyle w:val="Hyperlink"/>
                <w:rFonts w:ascii="Aptos Display" w:eastAsia="Aptos Display" w:hAnsi="Aptos Display" w:cs="Aptos Display"/>
                <w:bCs/>
              </w:rPr>
              <w:t>Multi-purpose Services (6)</w:t>
            </w:r>
            <w:r>
              <w:rPr>
                <w:webHidden/>
              </w:rPr>
              <w:tab/>
            </w:r>
            <w:r>
              <w:rPr>
                <w:webHidden/>
              </w:rPr>
              <w:fldChar w:fldCharType="begin"/>
            </w:r>
            <w:r>
              <w:rPr>
                <w:webHidden/>
              </w:rPr>
              <w:instrText xml:space="preserve"> PAGEREF _Toc217405506 \h </w:instrText>
            </w:r>
            <w:r>
              <w:rPr>
                <w:webHidden/>
              </w:rPr>
            </w:r>
            <w:r>
              <w:rPr>
                <w:webHidden/>
              </w:rPr>
              <w:fldChar w:fldCharType="separate"/>
            </w:r>
            <w:r>
              <w:rPr>
                <w:webHidden/>
              </w:rPr>
              <w:t>21</w:t>
            </w:r>
            <w:r>
              <w:rPr>
                <w:webHidden/>
              </w:rPr>
              <w:fldChar w:fldCharType="end"/>
            </w:r>
          </w:hyperlink>
        </w:p>
        <w:p w14:paraId="3A5FE3B9" w14:textId="77777777" w:rsidR="00986791" w:rsidRDefault="00986791">
          <w:pPr>
            <w:pStyle w:val="TOC2"/>
            <w:rPr>
              <w:rFonts w:eastAsiaTheme="minorEastAsia"/>
              <w:kern w:val="2"/>
              <w:sz w:val="24"/>
              <w:szCs w:val="24"/>
              <w:lang w:eastAsia="en-AU"/>
              <w14:ligatures w14:val="standardContextual"/>
            </w:rPr>
          </w:pPr>
          <w:hyperlink w:anchor="_Toc217405507" w:history="1">
            <w:r w:rsidRPr="00792E35">
              <w:rPr>
                <w:rStyle w:val="Hyperlink"/>
                <w:rFonts w:ascii="Aptos Display" w:eastAsia="Aptos Display" w:hAnsi="Aptos Display" w:cs="Aptos Display"/>
                <w:bCs/>
              </w:rPr>
              <w:t>Standalone Public Residential Aged Care Services (4)</w:t>
            </w:r>
            <w:r>
              <w:rPr>
                <w:webHidden/>
              </w:rPr>
              <w:tab/>
            </w:r>
            <w:r>
              <w:rPr>
                <w:webHidden/>
              </w:rPr>
              <w:fldChar w:fldCharType="begin"/>
            </w:r>
            <w:r>
              <w:rPr>
                <w:webHidden/>
              </w:rPr>
              <w:instrText xml:space="preserve"> PAGEREF _Toc217405507 \h </w:instrText>
            </w:r>
            <w:r>
              <w:rPr>
                <w:webHidden/>
              </w:rPr>
            </w:r>
            <w:r>
              <w:rPr>
                <w:webHidden/>
              </w:rPr>
              <w:fldChar w:fldCharType="separate"/>
            </w:r>
            <w:r>
              <w:rPr>
                <w:webHidden/>
              </w:rPr>
              <w:t>21</w:t>
            </w:r>
            <w:r>
              <w:rPr>
                <w:webHidden/>
              </w:rPr>
              <w:fldChar w:fldCharType="end"/>
            </w:r>
          </w:hyperlink>
        </w:p>
        <w:p w14:paraId="0BB0130A" w14:textId="77777777" w:rsidR="00986791" w:rsidRDefault="00986791">
          <w:pPr>
            <w:pStyle w:val="TOC2"/>
            <w:rPr>
              <w:rFonts w:eastAsiaTheme="minorEastAsia"/>
              <w:kern w:val="2"/>
              <w:sz w:val="24"/>
              <w:szCs w:val="24"/>
              <w:lang w:eastAsia="en-AU"/>
              <w14:ligatures w14:val="standardContextual"/>
            </w:rPr>
          </w:pPr>
          <w:hyperlink w:anchor="_Toc217405508" w:history="1">
            <w:r w:rsidRPr="00792E35">
              <w:rPr>
                <w:rStyle w:val="Hyperlink"/>
                <w:rFonts w:ascii="Aptos Display" w:eastAsia="Aptos Display" w:hAnsi="Aptos Display" w:cs="Aptos Display"/>
              </w:rPr>
              <w:t>Bush Nursing Hospitals (3)</w:t>
            </w:r>
            <w:r>
              <w:rPr>
                <w:webHidden/>
              </w:rPr>
              <w:tab/>
            </w:r>
            <w:r>
              <w:rPr>
                <w:webHidden/>
              </w:rPr>
              <w:fldChar w:fldCharType="begin"/>
            </w:r>
            <w:r>
              <w:rPr>
                <w:webHidden/>
              </w:rPr>
              <w:instrText xml:space="preserve"> PAGEREF _Toc217405508 \h </w:instrText>
            </w:r>
            <w:r>
              <w:rPr>
                <w:webHidden/>
              </w:rPr>
            </w:r>
            <w:r>
              <w:rPr>
                <w:webHidden/>
              </w:rPr>
              <w:fldChar w:fldCharType="separate"/>
            </w:r>
            <w:r>
              <w:rPr>
                <w:webHidden/>
              </w:rPr>
              <w:t>21</w:t>
            </w:r>
            <w:r>
              <w:rPr>
                <w:webHidden/>
              </w:rPr>
              <w:fldChar w:fldCharType="end"/>
            </w:r>
          </w:hyperlink>
        </w:p>
        <w:p w14:paraId="7CD73082" w14:textId="77777777" w:rsidR="00986791" w:rsidRDefault="00986791">
          <w:pPr>
            <w:pStyle w:val="TOC2"/>
            <w:rPr>
              <w:rFonts w:eastAsiaTheme="minorEastAsia"/>
              <w:kern w:val="2"/>
              <w:sz w:val="24"/>
              <w:szCs w:val="24"/>
              <w:lang w:eastAsia="en-AU"/>
              <w14:ligatures w14:val="standardContextual"/>
            </w:rPr>
          </w:pPr>
          <w:hyperlink w:anchor="_Toc217405509" w:history="1">
            <w:r w:rsidRPr="00792E35">
              <w:rPr>
                <w:rStyle w:val="Hyperlink"/>
                <w:rFonts w:ascii="Aptos Display" w:eastAsia="Aptos Display" w:hAnsi="Aptos Display" w:cs="Aptos Display"/>
                <w:bCs/>
              </w:rPr>
              <w:t>Registered Community Health Services (12)</w:t>
            </w:r>
            <w:r>
              <w:rPr>
                <w:webHidden/>
              </w:rPr>
              <w:tab/>
            </w:r>
            <w:r>
              <w:rPr>
                <w:webHidden/>
              </w:rPr>
              <w:fldChar w:fldCharType="begin"/>
            </w:r>
            <w:r>
              <w:rPr>
                <w:webHidden/>
              </w:rPr>
              <w:instrText xml:space="preserve"> PAGEREF _Toc217405509 \h </w:instrText>
            </w:r>
            <w:r>
              <w:rPr>
                <w:webHidden/>
              </w:rPr>
            </w:r>
            <w:r>
              <w:rPr>
                <w:webHidden/>
              </w:rPr>
              <w:fldChar w:fldCharType="separate"/>
            </w:r>
            <w:r>
              <w:rPr>
                <w:webHidden/>
              </w:rPr>
              <w:t>21</w:t>
            </w:r>
            <w:r>
              <w:rPr>
                <w:webHidden/>
              </w:rPr>
              <w:fldChar w:fldCharType="end"/>
            </w:r>
          </w:hyperlink>
        </w:p>
        <w:p w14:paraId="666CEF2C" w14:textId="77777777" w:rsidR="00986791" w:rsidRDefault="00986791">
          <w:pPr>
            <w:pStyle w:val="TOC2"/>
            <w:rPr>
              <w:rFonts w:eastAsiaTheme="minorEastAsia"/>
              <w:kern w:val="2"/>
              <w:sz w:val="24"/>
              <w:szCs w:val="24"/>
              <w:lang w:eastAsia="en-AU"/>
              <w14:ligatures w14:val="standardContextual"/>
            </w:rPr>
          </w:pPr>
          <w:hyperlink w:anchor="_Toc217405510" w:history="1">
            <w:r w:rsidRPr="00792E35">
              <w:rPr>
                <w:rStyle w:val="Hyperlink"/>
                <w:rFonts w:ascii="Aptos Display" w:eastAsia="Aptos Display" w:hAnsi="Aptos Display" w:cs="Aptos Display"/>
                <w:bCs/>
              </w:rPr>
              <w:t>Bush Nursing Centres (15)</w:t>
            </w:r>
            <w:r>
              <w:rPr>
                <w:webHidden/>
              </w:rPr>
              <w:tab/>
            </w:r>
            <w:r>
              <w:rPr>
                <w:webHidden/>
              </w:rPr>
              <w:fldChar w:fldCharType="begin"/>
            </w:r>
            <w:r>
              <w:rPr>
                <w:webHidden/>
              </w:rPr>
              <w:instrText xml:space="preserve"> PAGEREF _Toc217405510 \h </w:instrText>
            </w:r>
            <w:r>
              <w:rPr>
                <w:webHidden/>
              </w:rPr>
            </w:r>
            <w:r>
              <w:rPr>
                <w:webHidden/>
              </w:rPr>
              <w:fldChar w:fldCharType="separate"/>
            </w:r>
            <w:r>
              <w:rPr>
                <w:webHidden/>
              </w:rPr>
              <w:t>21</w:t>
            </w:r>
            <w:r>
              <w:rPr>
                <w:webHidden/>
              </w:rPr>
              <w:fldChar w:fldCharType="end"/>
            </w:r>
          </w:hyperlink>
        </w:p>
        <w:p w14:paraId="7C20663D" w14:textId="77777777" w:rsidR="00986791" w:rsidRDefault="00986791">
          <w:pPr>
            <w:pStyle w:val="TOC2"/>
            <w:rPr>
              <w:rFonts w:eastAsiaTheme="minorEastAsia"/>
              <w:kern w:val="2"/>
              <w:sz w:val="24"/>
              <w:szCs w:val="24"/>
              <w:lang w:eastAsia="en-AU"/>
              <w14:ligatures w14:val="standardContextual"/>
            </w:rPr>
          </w:pPr>
          <w:hyperlink w:anchor="_Toc217405511" w:history="1">
            <w:r w:rsidRPr="00792E35">
              <w:rPr>
                <w:rStyle w:val="Hyperlink"/>
                <w:rFonts w:ascii="Aptos Display" w:eastAsia="Aptos Display" w:hAnsi="Aptos Display" w:cs="Aptos Display"/>
                <w:bCs/>
              </w:rPr>
              <w:t>Women’s Health Services (5)</w:t>
            </w:r>
            <w:r>
              <w:rPr>
                <w:webHidden/>
              </w:rPr>
              <w:tab/>
            </w:r>
            <w:r>
              <w:rPr>
                <w:webHidden/>
              </w:rPr>
              <w:fldChar w:fldCharType="begin"/>
            </w:r>
            <w:r>
              <w:rPr>
                <w:webHidden/>
              </w:rPr>
              <w:instrText xml:space="preserve"> PAGEREF _Toc217405511 \h </w:instrText>
            </w:r>
            <w:r>
              <w:rPr>
                <w:webHidden/>
              </w:rPr>
            </w:r>
            <w:r>
              <w:rPr>
                <w:webHidden/>
              </w:rPr>
              <w:fldChar w:fldCharType="separate"/>
            </w:r>
            <w:r>
              <w:rPr>
                <w:webHidden/>
              </w:rPr>
              <w:t>22</w:t>
            </w:r>
            <w:r>
              <w:rPr>
                <w:webHidden/>
              </w:rPr>
              <w:fldChar w:fldCharType="end"/>
            </w:r>
          </w:hyperlink>
        </w:p>
        <w:p w14:paraId="01FF2AA6" w14:textId="77777777" w:rsidR="00986791" w:rsidRDefault="00986791">
          <w:pPr>
            <w:pStyle w:val="TOC2"/>
            <w:rPr>
              <w:rFonts w:eastAsiaTheme="minorEastAsia"/>
              <w:kern w:val="2"/>
              <w:sz w:val="24"/>
              <w:szCs w:val="24"/>
              <w:lang w:eastAsia="en-AU"/>
              <w14:ligatures w14:val="standardContextual"/>
            </w:rPr>
          </w:pPr>
          <w:hyperlink w:anchor="_Toc217405512" w:history="1">
            <w:r w:rsidRPr="00792E35">
              <w:rPr>
                <w:rStyle w:val="Hyperlink"/>
                <w:rFonts w:ascii="Aptos Display" w:eastAsia="Aptos Display" w:hAnsi="Aptos Display" w:cs="Aptos Display"/>
                <w:bCs/>
              </w:rPr>
              <w:t>Publicly Funded Community Specialist Palliative Care Services (2)</w:t>
            </w:r>
            <w:r>
              <w:rPr>
                <w:webHidden/>
              </w:rPr>
              <w:tab/>
            </w:r>
            <w:r>
              <w:rPr>
                <w:webHidden/>
              </w:rPr>
              <w:fldChar w:fldCharType="begin"/>
            </w:r>
            <w:r>
              <w:rPr>
                <w:webHidden/>
              </w:rPr>
              <w:instrText xml:space="preserve"> PAGEREF _Toc217405512 \h </w:instrText>
            </w:r>
            <w:r>
              <w:rPr>
                <w:webHidden/>
              </w:rPr>
            </w:r>
            <w:r>
              <w:rPr>
                <w:webHidden/>
              </w:rPr>
              <w:fldChar w:fldCharType="separate"/>
            </w:r>
            <w:r>
              <w:rPr>
                <w:webHidden/>
              </w:rPr>
              <w:t>22</w:t>
            </w:r>
            <w:r>
              <w:rPr>
                <w:webHidden/>
              </w:rPr>
              <w:fldChar w:fldCharType="end"/>
            </w:r>
          </w:hyperlink>
        </w:p>
        <w:p w14:paraId="3513D8C7" w14:textId="77777777" w:rsidR="00986791" w:rsidRDefault="00986791">
          <w:pPr>
            <w:pStyle w:val="TOC2"/>
            <w:rPr>
              <w:rFonts w:eastAsiaTheme="minorEastAsia"/>
              <w:kern w:val="2"/>
              <w:sz w:val="24"/>
              <w:szCs w:val="24"/>
              <w:lang w:eastAsia="en-AU"/>
              <w14:ligatures w14:val="standardContextual"/>
            </w:rPr>
          </w:pPr>
          <w:hyperlink w:anchor="_Toc217405513" w:history="1">
            <w:r w:rsidRPr="00792E35">
              <w:rPr>
                <w:rStyle w:val="Hyperlink"/>
                <w:rFonts w:ascii="Aptos Display" w:eastAsia="Aptos Display" w:hAnsi="Aptos Display" w:cs="Aptos Display"/>
              </w:rPr>
              <w:t>Regional Aboriginal Community Controlled Health Organisations (20)</w:t>
            </w:r>
            <w:r>
              <w:rPr>
                <w:webHidden/>
              </w:rPr>
              <w:tab/>
            </w:r>
            <w:r>
              <w:rPr>
                <w:webHidden/>
              </w:rPr>
              <w:fldChar w:fldCharType="begin"/>
            </w:r>
            <w:r>
              <w:rPr>
                <w:webHidden/>
              </w:rPr>
              <w:instrText xml:space="preserve"> PAGEREF _Toc217405513 \h </w:instrText>
            </w:r>
            <w:r>
              <w:rPr>
                <w:webHidden/>
              </w:rPr>
            </w:r>
            <w:r>
              <w:rPr>
                <w:webHidden/>
              </w:rPr>
              <w:fldChar w:fldCharType="separate"/>
            </w:r>
            <w:r>
              <w:rPr>
                <w:webHidden/>
              </w:rPr>
              <w:t>22</w:t>
            </w:r>
            <w:r>
              <w:rPr>
                <w:webHidden/>
              </w:rPr>
              <w:fldChar w:fldCharType="end"/>
            </w:r>
          </w:hyperlink>
        </w:p>
        <w:p w14:paraId="55702628" w14:textId="77777777" w:rsidR="00986791" w:rsidRDefault="00986791">
          <w:pPr>
            <w:pStyle w:val="TOC1"/>
            <w:tabs>
              <w:tab w:val="left" w:pos="1531"/>
            </w:tabs>
            <w:rPr>
              <w:rFonts w:eastAsiaTheme="minorEastAsia"/>
              <w:b w:val="0"/>
              <w:kern w:val="2"/>
              <w:sz w:val="24"/>
              <w:szCs w:val="24"/>
              <w:lang w:eastAsia="en-AU"/>
              <w14:ligatures w14:val="standardContextual"/>
            </w:rPr>
          </w:pPr>
          <w:hyperlink w:anchor="_Toc217405514" w:history="1">
            <w:r w:rsidRPr="00792E35">
              <w:rPr>
                <w:rStyle w:val="Hyperlink"/>
              </w:rPr>
              <w:t>Appendix B</w:t>
            </w:r>
            <w:r>
              <w:rPr>
                <w:rFonts w:eastAsiaTheme="minorEastAsia"/>
                <w:b w:val="0"/>
                <w:kern w:val="2"/>
                <w:sz w:val="24"/>
                <w:szCs w:val="24"/>
                <w:lang w:eastAsia="en-AU"/>
                <w14:ligatures w14:val="standardContextual"/>
              </w:rPr>
              <w:tab/>
            </w:r>
            <w:r w:rsidRPr="00792E35">
              <w:rPr>
                <w:rStyle w:val="Hyperlink"/>
              </w:rPr>
              <w:t>Construction Projects in Victoria – references and links</w:t>
            </w:r>
            <w:r>
              <w:rPr>
                <w:webHidden/>
              </w:rPr>
              <w:tab/>
            </w:r>
            <w:r>
              <w:rPr>
                <w:webHidden/>
              </w:rPr>
              <w:fldChar w:fldCharType="begin"/>
            </w:r>
            <w:r>
              <w:rPr>
                <w:webHidden/>
              </w:rPr>
              <w:instrText xml:space="preserve"> PAGEREF _Toc217405514 \h </w:instrText>
            </w:r>
            <w:r>
              <w:rPr>
                <w:webHidden/>
              </w:rPr>
            </w:r>
            <w:r>
              <w:rPr>
                <w:webHidden/>
              </w:rPr>
              <w:fldChar w:fldCharType="separate"/>
            </w:r>
            <w:r>
              <w:rPr>
                <w:webHidden/>
              </w:rPr>
              <w:t>23</w:t>
            </w:r>
            <w:r>
              <w:rPr>
                <w:webHidden/>
              </w:rPr>
              <w:fldChar w:fldCharType="end"/>
            </w:r>
          </w:hyperlink>
        </w:p>
        <w:p w14:paraId="4A74B189" w14:textId="77777777" w:rsidR="00986791" w:rsidRDefault="00986791">
          <w:pPr>
            <w:pStyle w:val="TOC2"/>
            <w:rPr>
              <w:rFonts w:eastAsiaTheme="minorEastAsia"/>
              <w:kern w:val="2"/>
              <w:sz w:val="24"/>
              <w:szCs w:val="24"/>
              <w:lang w:eastAsia="en-AU"/>
              <w14:ligatures w14:val="standardContextual"/>
            </w:rPr>
          </w:pPr>
          <w:hyperlink w:anchor="_Toc217405515" w:history="1">
            <w:r w:rsidRPr="00792E35">
              <w:rPr>
                <w:rStyle w:val="Hyperlink"/>
              </w:rPr>
              <w:t>Department of Health website</w:t>
            </w:r>
            <w:r>
              <w:rPr>
                <w:webHidden/>
              </w:rPr>
              <w:tab/>
            </w:r>
            <w:r>
              <w:rPr>
                <w:webHidden/>
              </w:rPr>
              <w:fldChar w:fldCharType="begin"/>
            </w:r>
            <w:r>
              <w:rPr>
                <w:webHidden/>
              </w:rPr>
              <w:instrText xml:space="preserve"> PAGEREF _Toc217405515 \h </w:instrText>
            </w:r>
            <w:r>
              <w:rPr>
                <w:webHidden/>
              </w:rPr>
            </w:r>
            <w:r>
              <w:rPr>
                <w:webHidden/>
              </w:rPr>
              <w:fldChar w:fldCharType="separate"/>
            </w:r>
            <w:r>
              <w:rPr>
                <w:webHidden/>
              </w:rPr>
              <w:t>23</w:t>
            </w:r>
            <w:r>
              <w:rPr>
                <w:webHidden/>
              </w:rPr>
              <w:fldChar w:fldCharType="end"/>
            </w:r>
          </w:hyperlink>
        </w:p>
        <w:p w14:paraId="79CBA8E9" w14:textId="77777777" w:rsidR="00986791" w:rsidRDefault="00986791">
          <w:pPr>
            <w:pStyle w:val="TOC2"/>
            <w:rPr>
              <w:rFonts w:eastAsiaTheme="minorEastAsia"/>
              <w:kern w:val="2"/>
              <w:sz w:val="24"/>
              <w:szCs w:val="24"/>
              <w:lang w:eastAsia="en-AU"/>
              <w14:ligatures w14:val="standardContextual"/>
            </w:rPr>
          </w:pPr>
          <w:hyperlink w:anchor="_Toc217405516" w:history="1">
            <w:r w:rsidRPr="00792E35">
              <w:rPr>
                <w:rStyle w:val="Hyperlink"/>
              </w:rPr>
              <w:t>Victorian Health Building Authority website</w:t>
            </w:r>
            <w:r>
              <w:rPr>
                <w:webHidden/>
              </w:rPr>
              <w:tab/>
            </w:r>
            <w:r>
              <w:rPr>
                <w:webHidden/>
              </w:rPr>
              <w:fldChar w:fldCharType="begin"/>
            </w:r>
            <w:r>
              <w:rPr>
                <w:webHidden/>
              </w:rPr>
              <w:instrText xml:space="preserve"> PAGEREF _Toc217405516 \h </w:instrText>
            </w:r>
            <w:r>
              <w:rPr>
                <w:webHidden/>
              </w:rPr>
            </w:r>
            <w:r>
              <w:rPr>
                <w:webHidden/>
              </w:rPr>
              <w:fldChar w:fldCharType="separate"/>
            </w:r>
            <w:r>
              <w:rPr>
                <w:webHidden/>
              </w:rPr>
              <w:t>23</w:t>
            </w:r>
            <w:r>
              <w:rPr>
                <w:webHidden/>
              </w:rPr>
              <w:fldChar w:fldCharType="end"/>
            </w:r>
          </w:hyperlink>
        </w:p>
        <w:p w14:paraId="151BF22D" w14:textId="77777777" w:rsidR="00986791" w:rsidRDefault="00986791">
          <w:pPr>
            <w:pStyle w:val="TOC2"/>
            <w:rPr>
              <w:rFonts w:eastAsiaTheme="minorEastAsia"/>
              <w:kern w:val="2"/>
              <w:sz w:val="24"/>
              <w:szCs w:val="24"/>
              <w:lang w:eastAsia="en-AU"/>
              <w14:ligatures w14:val="standardContextual"/>
            </w:rPr>
          </w:pPr>
          <w:hyperlink w:anchor="_Toc217405517" w:history="1">
            <w:r w:rsidRPr="00792E35">
              <w:rPr>
                <w:rStyle w:val="Hyperlink"/>
              </w:rPr>
              <w:t>Department of Treasury and Finance website</w:t>
            </w:r>
            <w:r>
              <w:rPr>
                <w:webHidden/>
              </w:rPr>
              <w:tab/>
            </w:r>
            <w:r>
              <w:rPr>
                <w:webHidden/>
              </w:rPr>
              <w:fldChar w:fldCharType="begin"/>
            </w:r>
            <w:r>
              <w:rPr>
                <w:webHidden/>
              </w:rPr>
              <w:instrText xml:space="preserve"> PAGEREF _Toc217405517 \h </w:instrText>
            </w:r>
            <w:r>
              <w:rPr>
                <w:webHidden/>
              </w:rPr>
            </w:r>
            <w:r>
              <w:rPr>
                <w:webHidden/>
              </w:rPr>
              <w:fldChar w:fldCharType="separate"/>
            </w:r>
            <w:r>
              <w:rPr>
                <w:webHidden/>
              </w:rPr>
              <w:t>23</w:t>
            </w:r>
            <w:r>
              <w:rPr>
                <w:webHidden/>
              </w:rPr>
              <w:fldChar w:fldCharType="end"/>
            </w:r>
          </w:hyperlink>
        </w:p>
        <w:p w14:paraId="6C2661D1" w14:textId="77777777" w:rsidR="00986791" w:rsidRDefault="00986791">
          <w:pPr>
            <w:pStyle w:val="TOC2"/>
            <w:rPr>
              <w:rFonts w:eastAsiaTheme="minorEastAsia"/>
              <w:kern w:val="2"/>
              <w:sz w:val="24"/>
              <w:szCs w:val="24"/>
              <w:lang w:eastAsia="en-AU"/>
              <w14:ligatures w14:val="standardContextual"/>
            </w:rPr>
          </w:pPr>
          <w:hyperlink w:anchor="_Toc217405518" w:history="1">
            <w:r w:rsidRPr="00792E35">
              <w:rPr>
                <w:rStyle w:val="Hyperlink"/>
              </w:rPr>
              <w:t>Local Jobs First website</w:t>
            </w:r>
            <w:r>
              <w:rPr>
                <w:webHidden/>
              </w:rPr>
              <w:tab/>
            </w:r>
            <w:r>
              <w:rPr>
                <w:webHidden/>
              </w:rPr>
              <w:fldChar w:fldCharType="begin"/>
            </w:r>
            <w:r>
              <w:rPr>
                <w:webHidden/>
              </w:rPr>
              <w:instrText xml:space="preserve"> PAGEREF _Toc217405518 \h </w:instrText>
            </w:r>
            <w:r>
              <w:rPr>
                <w:webHidden/>
              </w:rPr>
            </w:r>
            <w:r>
              <w:rPr>
                <w:webHidden/>
              </w:rPr>
              <w:fldChar w:fldCharType="separate"/>
            </w:r>
            <w:r>
              <w:rPr>
                <w:webHidden/>
              </w:rPr>
              <w:t>23</w:t>
            </w:r>
            <w:r>
              <w:rPr>
                <w:webHidden/>
              </w:rPr>
              <w:fldChar w:fldCharType="end"/>
            </w:r>
          </w:hyperlink>
        </w:p>
        <w:p w14:paraId="178374FB" w14:textId="77777777" w:rsidR="00986791" w:rsidRDefault="00986791">
          <w:pPr>
            <w:pStyle w:val="TOC2"/>
            <w:rPr>
              <w:rFonts w:eastAsiaTheme="minorEastAsia"/>
              <w:kern w:val="2"/>
              <w:sz w:val="24"/>
              <w:szCs w:val="24"/>
              <w:lang w:eastAsia="en-AU"/>
              <w14:ligatures w14:val="standardContextual"/>
            </w:rPr>
          </w:pPr>
          <w:hyperlink w:anchor="_Toc217405519" w:history="1">
            <w:r w:rsidRPr="00792E35">
              <w:rPr>
                <w:rStyle w:val="Hyperlink"/>
              </w:rPr>
              <w:t>Jobs Victoria website</w:t>
            </w:r>
            <w:r>
              <w:rPr>
                <w:webHidden/>
              </w:rPr>
              <w:tab/>
            </w:r>
            <w:r>
              <w:rPr>
                <w:webHidden/>
              </w:rPr>
              <w:fldChar w:fldCharType="begin"/>
            </w:r>
            <w:r>
              <w:rPr>
                <w:webHidden/>
              </w:rPr>
              <w:instrText xml:space="preserve"> PAGEREF _Toc217405519 \h </w:instrText>
            </w:r>
            <w:r>
              <w:rPr>
                <w:webHidden/>
              </w:rPr>
            </w:r>
            <w:r>
              <w:rPr>
                <w:webHidden/>
              </w:rPr>
              <w:fldChar w:fldCharType="separate"/>
            </w:r>
            <w:r>
              <w:rPr>
                <w:webHidden/>
              </w:rPr>
              <w:t>23</w:t>
            </w:r>
            <w:r>
              <w:rPr>
                <w:webHidden/>
              </w:rPr>
              <w:fldChar w:fldCharType="end"/>
            </w:r>
          </w:hyperlink>
        </w:p>
        <w:p w14:paraId="292B83F2" w14:textId="77777777" w:rsidR="00986791" w:rsidRDefault="00986791">
          <w:pPr>
            <w:pStyle w:val="TOC2"/>
            <w:rPr>
              <w:rFonts w:eastAsiaTheme="minorEastAsia"/>
              <w:kern w:val="2"/>
              <w:sz w:val="24"/>
              <w:szCs w:val="24"/>
              <w:lang w:eastAsia="en-AU"/>
              <w14:ligatures w14:val="standardContextual"/>
            </w:rPr>
          </w:pPr>
          <w:hyperlink w:anchor="_Toc217405520" w:history="1">
            <w:r w:rsidRPr="00792E35">
              <w:rPr>
                <w:rStyle w:val="Hyperlink"/>
              </w:rPr>
              <w:t>Commonwealth policies and procedures</w:t>
            </w:r>
            <w:r>
              <w:rPr>
                <w:webHidden/>
              </w:rPr>
              <w:tab/>
            </w:r>
            <w:r>
              <w:rPr>
                <w:webHidden/>
              </w:rPr>
              <w:fldChar w:fldCharType="begin"/>
            </w:r>
            <w:r>
              <w:rPr>
                <w:webHidden/>
              </w:rPr>
              <w:instrText xml:space="preserve"> PAGEREF _Toc217405520 \h </w:instrText>
            </w:r>
            <w:r>
              <w:rPr>
                <w:webHidden/>
              </w:rPr>
            </w:r>
            <w:r>
              <w:rPr>
                <w:webHidden/>
              </w:rPr>
              <w:fldChar w:fldCharType="separate"/>
            </w:r>
            <w:r>
              <w:rPr>
                <w:webHidden/>
              </w:rPr>
              <w:t>23</w:t>
            </w:r>
            <w:r>
              <w:rPr>
                <w:webHidden/>
              </w:rPr>
              <w:fldChar w:fldCharType="end"/>
            </w:r>
          </w:hyperlink>
        </w:p>
        <w:p w14:paraId="0571AEB0" w14:textId="77777777" w:rsidR="00986791" w:rsidRDefault="00986791">
          <w:pPr>
            <w:pStyle w:val="TOC1"/>
            <w:tabs>
              <w:tab w:val="left" w:pos="1531"/>
            </w:tabs>
            <w:rPr>
              <w:rFonts w:eastAsiaTheme="minorEastAsia"/>
              <w:b w:val="0"/>
              <w:kern w:val="2"/>
              <w:sz w:val="24"/>
              <w:szCs w:val="24"/>
              <w:lang w:eastAsia="en-AU"/>
              <w14:ligatures w14:val="standardContextual"/>
            </w:rPr>
          </w:pPr>
          <w:hyperlink w:anchor="_Toc217405521" w:history="1">
            <w:r w:rsidRPr="00792E35">
              <w:rPr>
                <w:rStyle w:val="Hyperlink"/>
                <w:rFonts w:eastAsia="Times New Roman"/>
              </w:rPr>
              <w:t>Appendix C</w:t>
            </w:r>
            <w:r>
              <w:rPr>
                <w:rFonts w:eastAsiaTheme="minorEastAsia"/>
                <w:b w:val="0"/>
                <w:kern w:val="2"/>
                <w:sz w:val="24"/>
                <w:szCs w:val="24"/>
                <w:lang w:eastAsia="en-AU"/>
                <w14:ligatures w14:val="standardContextual"/>
              </w:rPr>
              <w:tab/>
            </w:r>
            <w:r w:rsidRPr="00792E35">
              <w:rPr>
                <w:rStyle w:val="Hyperlink"/>
                <w:rFonts w:eastAsia="Times New Roman"/>
              </w:rPr>
              <w:t>Sustainability FAQs</w:t>
            </w:r>
            <w:r>
              <w:rPr>
                <w:webHidden/>
              </w:rPr>
              <w:tab/>
            </w:r>
            <w:r>
              <w:rPr>
                <w:webHidden/>
              </w:rPr>
              <w:fldChar w:fldCharType="begin"/>
            </w:r>
            <w:r>
              <w:rPr>
                <w:webHidden/>
              </w:rPr>
              <w:instrText xml:space="preserve"> PAGEREF _Toc217405521 \h </w:instrText>
            </w:r>
            <w:r>
              <w:rPr>
                <w:webHidden/>
              </w:rPr>
            </w:r>
            <w:r>
              <w:rPr>
                <w:webHidden/>
              </w:rPr>
              <w:fldChar w:fldCharType="separate"/>
            </w:r>
            <w:r>
              <w:rPr>
                <w:webHidden/>
              </w:rPr>
              <w:t>24</w:t>
            </w:r>
            <w:r>
              <w:rPr>
                <w:webHidden/>
              </w:rPr>
              <w:fldChar w:fldCharType="end"/>
            </w:r>
          </w:hyperlink>
        </w:p>
        <w:p w14:paraId="75474C42" w14:textId="77777777" w:rsidR="00986791" w:rsidRDefault="00986791">
          <w:pPr>
            <w:pStyle w:val="TOC2"/>
            <w:rPr>
              <w:rFonts w:eastAsiaTheme="minorEastAsia"/>
              <w:kern w:val="2"/>
              <w:sz w:val="24"/>
              <w:szCs w:val="24"/>
              <w:lang w:eastAsia="en-AU"/>
              <w14:ligatures w14:val="standardContextual"/>
            </w:rPr>
          </w:pPr>
          <w:hyperlink w:anchor="_Toc217405522" w:history="1">
            <w:r w:rsidRPr="00792E35">
              <w:rPr>
                <w:rStyle w:val="Hyperlink"/>
              </w:rPr>
              <w:t>Submission process</w:t>
            </w:r>
            <w:r>
              <w:rPr>
                <w:webHidden/>
              </w:rPr>
              <w:tab/>
            </w:r>
            <w:r>
              <w:rPr>
                <w:webHidden/>
              </w:rPr>
              <w:fldChar w:fldCharType="begin"/>
            </w:r>
            <w:r>
              <w:rPr>
                <w:webHidden/>
              </w:rPr>
              <w:instrText xml:space="preserve"> PAGEREF _Toc217405522 \h </w:instrText>
            </w:r>
            <w:r>
              <w:rPr>
                <w:webHidden/>
              </w:rPr>
            </w:r>
            <w:r>
              <w:rPr>
                <w:webHidden/>
              </w:rPr>
              <w:fldChar w:fldCharType="separate"/>
            </w:r>
            <w:r>
              <w:rPr>
                <w:webHidden/>
              </w:rPr>
              <w:t>26</w:t>
            </w:r>
            <w:r>
              <w:rPr>
                <w:webHidden/>
              </w:rPr>
              <w:fldChar w:fldCharType="end"/>
            </w:r>
          </w:hyperlink>
        </w:p>
        <w:p w14:paraId="4B457444" w14:textId="77777777" w:rsidR="00986791" w:rsidRDefault="00986791">
          <w:pPr>
            <w:pStyle w:val="TOC2"/>
            <w:rPr>
              <w:rFonts w:eastAsiaTheme="minorEastAsia"/>
              <w:kern w:val="2"/>
              <w:sz w:val="24"/>
              <w:szCs w:val="24"/>
              <w:lang w:eastAsia="en-AU"/>
              <w14:ligatures w14:val="standardContextual"/>
            </w:rPr>
          </w:pPr>
          <w:hyperlink w:anchor="_Toc217405523" w:history="1">
            <w:r w:rsidRPr="00792E35">
              <w:rPr>
                <w:rStyle w:val="Hyperlink"/>
              </w:rPr>
              <w:t>Project delivery</w:t>
            </w:r>
            <w:r>
              <w:rPr>
                <w:webHidden/>
              </w:rPr>
              <w:tab/>
            </w:r>
            <w:r>
              <w:rPr>
                <w:webHidden/>
              </w:rPr>
              <w:fldChar w:fldCharType="begin"/>
            </w:r>
            <w:r>
              <w:rPr>
                <w:webHidden/>
              </w:rPr>
              <w:instrText xml:space="preserve"> PAGEREF _Toc217405523 \h </w:instrText>
            </w:r>
            <w:r>
              <w:rPr>
                <w:webHidden/>
              </w:rPr>
            </w:r>
            <w:r>
              <w:rPr>
                <w:webHidden/>
              </w:rPr>
              <w:fldChar w:fldCharType="separate"/>
            </w:r>
            <w:r>
              <w:rPr>
                <w:webHidden/>
              </w:rPr>
              <w:t>27</w:t>
            </w:r>
            <w:r>
              <w:rPr>
                <w:webHidden/>
              </w:rPr>
              <w:fldChar w:fldCharType="end"/>
            </w:r>
          </w:hyperlink>
        </w:p>
        <w:p w14:paraId="428A2AF2" w14:textId="77777777" w:rsidR="00986791" w:rsidRDefault="00986791">
          <w:pPr>
            <w:pStyle w:val="TOC2"/>
            <w:rPr>
              <w:rFonts w:eastAsiaTheme="minorEastAsia"/>
              <w:kern w:val="2"/>
              <w:sz w:val="24"/>
              <w:szCs w:val="24"/>
              <w:lang w:eastAsia="en-AU"/>
              <w14:ligatures w14:val="standardContextual"/>
            </w:rPr>
          </w:pPr>
          <w:hyperlink w:anchor="_Toc217405524" w:history="1">
            <w:r w:rsidRPr="00792E35">
              <w:rPr>
                <w:rStyle w:val="Hyperlink"/>
              </w:rPr>
              <w:t>Resources</w:t>
            </w:r>
            <w:r>
              <w:rPr>
                <w:webHidden/>
              </w:rPr>
              <w:tab/>
            </w:r>
            <w:r>
              <w:rPr>
                <w:webHidden/>
              </w:rPr>
              <w:fldChar w:fldCharType="begin"/>
            </w:r>
            <w:r>
              <w:rPr>
                <w:webHidden/>
              </w:rPr>
              <w:instrText xml:space="preserve"> PAGEREF _Toc217405524 \h </w:instrText>
            </w:r>
            <w:r>
              <w:rPr>
                <w:webHidden/>
              </w:rPr>
            </w:r>
            <w:r>
              <w:rPr>
                <w:webHidden/>
              </w:rPr>
              <w:fldChar w:fldCharType="separate"/>
            </w:r>
            <w:r>
              <w:rPr>
                <w:webHidden/>
              </w:rPr>
              <w:t>27</w:t>
            </w:r>
            <w:r>
              <w:rPr>
                <w:webHidden/>
              </w:rPr>
              <w:fldChar w:fldCharType="end"/>
            </w:r>
          </w:hyperlink>
        </w:p>
        <w:p w14:paraId="499E6260" w14:textId="77777777" w:rsidR="00A73694" w:rsidRPr="0056743B" w:rsidRDefault="00A73694" w:rsidP="00A73694">
          <w:r>
            <w:fldChar w:fldCharType="end"/>
          </w:r>
        </w:p>
      </w:sdtContent>
    </w:sdt>
    <w:p w14:paraId="5C30DC42" w14:textId="77777777" w:rsidR="00A73694" w:rsidRPr="0056743B" w:rsidRDefault="00A73694" w:rsidP="00A73694">
      <w:pPr>
        <w:pStyle w:val="BodyText"/>
      </w:pPr>
    </w:p>
    <w:p w14:paraId="597EB295" w14:textId="77777777" w:rsidR="00A73694" w:rsidRDefault="00A73694" w:rsidP="00A73694">
      <w:pPr>
        <w:spacing w:before="0" w:after="200" w:line="276" w:lineRule="auto"/>
      </w:pPr>
      <w:bookmarkStart w:id="0" w:name="_Hlk158554227"/>
      <w:r>
        <w:br w:type="page"/>
      </w:r>
    </w:p>
    <w:bookmarkEnd w:id="0"/>
    <w:p w14:paraId="6C95D977" w14:textId="77777777" w:rsidR="00A73694" w:rsidRPr="0056743B" w:rsidRDefault="00A73694" w:rsidP="00A73694">
      <w:pPr>
        <w:pStyle w:val="BodyText"/>
        <w:sectPr w:rsidR="00A73694" w:rsidRPr="0056743B" w:rsidSect="00A73694">
          <w:type w:val="continuous"/>
          <w:pgSz w:w="11906" w:h="16838" w:code="9"/>
          <w:pgMar w:top="1009" w:right="1134" w:bottom="1134" w:left="1134" w:header="454" w:footer="454" w:gutter="0"/>
          <w:pgNumType w:start="1"/>
          <w:cols w:space="708"/>
          <w:titlePg/>
          <w:docGrid w:linePitch="360"/>
        </w:sectPr>
      </w:pPr>
    </w:p>
    <w:p w14:paraId="4BC4942E" w14:textId="77777777" w:rsidR="00A73694" w:rsidRDefault="00DD7235" w:rsidP="00A73694">
      <w:pPr>
        <w:pStyle w:val="Heading1NoNumber"/>
      </w:pPr>
      <w:bookmarkStart w:id="1" w:name="_Toc217405464"/>
      <w:r>
        <w:lastRenderedPageBreak/>
        <w:t>Submission link</w:t>
      </w:r>
      <w:bookmarkEnd w:id="1"/>
    </w:p>
    <w:p w14:paraId="4F757C8E" w14:textId="306E9000" w:rsidR="00DD7235" w:rsidRPr="00DD7235" w:rsidRDefault="00DD7235" w:rsidP="00A73694">
      <w:pPr>
        <w:pStyle w:val="BodyText"/>
        <w:rPr>
          <w:rStyle w:val="Templateinstructions"/>
          <w:color w:val="auto"/>
        </w:rPr>
      </w:pPr>
      <w:bookmarkStart w:id="2" w:name="_Toc392541311"/>
      <w:r w:rsidRPr="00DD7235">
        <w:rPr>
          <w:rStyle w:val="Templateinstructions"/>
          <w:color w:val="auto"/>
        </w:rPr>
        <w:t xml:space="preserve">The link to the Regional Health Infrastructure Fund (RHIF) submission can be found on the department’s SmartyGrants page </w:t>
      </w:r>
      <w:r w:rsidRPr="001425E2">
        <w:rPr>
          <w:rStyle w:val="Templateinstructions"/>
          <w:color w:val="auto"/>
        </w:rPr>
        <w:t xml:space="preserve">&lt; </w:t>
      </w:r>
      <w:hyperlink r:id="rId19" w:history="1">
        <w:r w:rsidRPr="007E0A3A">
          <w:rPr>
            <w:rStyle w:val="Hyperlink"/>
          </w:rPr>
          <w:t>https://dhhs.smartygrants.com.au/RHIF2025-26</w:t>
        </w:r>
      </w:hyperlink>
      <w:r w:rsidRPr="001425E2">
        <w:rPr>
          <w:rStyle w:val="Templateinstructions"/>
          <w:color w:val="auto"/>
        </w:rPr>
        <w:t xml:space="preserve"> &gt;.</w:t>
      </w:r>
      <w:r w:rsidRPr="00DD7235">
        <w:rPr>
          <w:rStyle w:val="Templateinstructions"/>
          <w:color w:val="auto"/>
        </w:rPr>
        <w:t xml:space="preserve"> </w:t>
      </w:r>
    </w:p>
    <w:p w14:paraId="6938373D" w14:textId="77777777" w:rsidR="00A73694" w:rsidRPr="00DD7235" w:rsidRDefault="00DD7235" w:rsidP="00A73694">
      <w:pPr>
        <w:pStyle w:val="Heading2NoNumber"/>
        <w:rPr>
          <w:bCs/>
          <w:color w:val="850024" w:themeColor="text2"/>
          <w:sz w:val="40"/>
          <w:szCs w:val="40"/>
        </w:rPr>
      </w:pPr>
      <w:bookmarkStart w:id="3" w:name="_Toc217405465"/>
      <w:r w:rsidRPr="00DD7235">
        <w:rPr>
          <w:bCs/>
          <w:color w:val="850024" w:themeColor="text2"/>
          <w:sz w:val="40"/>
          <w:szCs w:val="40"/>
        </w:rPr>
        <w:t>Submissions Timeline</w:t>
      </w:r>
      <w:bookmarkEnd w:id="3"/>
    </w:p>
    <w:p w14:paraId="2CAC0F54" w14:textId="77777777" w:rsidR="00DD7235" w:rsidRDefault="00DD7235" w:rsidP="00DD7235">
      <w:pPr>
        <w:pStyle w:val="DHHSbody"/>
      </w:pPr>
      <w:r w:rsidRPr="001425E2">
        <w:t xml:space="preserve">Submissions to </w:t>
      </w:r>
      <w:r w:rsidRPr="001425E2">
        <w:rPr>
          <w:rFonts w:eastAsia="Times New Roman"/>
        </w:rPr>
        <w:t xml:space="preserve">RHIF 2025-26 – Application form </w:t>
      </w:r>
      <w:r w:rsidRPr="001425E2">
        <w:t xml:space="preserve">will open in </w:t>
      </w:r>
      <w:r w:rsidR="002A122F" w:rsidRPr="001425E2">
        <w:t>April</w:t>
      </w:r>
      <w:r w:rsidRPr="001425E2">
        <w:rPr>
          <w:b/>
          <w:bCs/>
        </w:rPr>
        <w:t xml:space="preserve"> </w:t>
      </w:r>
      <w:r w:rsidRPr="001425E2">
        <w:rPr>
          <w:bCs/>
        </w:rPr>
        <w:t>2026</w:t>
      </w:r>
      <w:r w:rsidRPr="001425E2">
        <w:t xml:space="preserve"> and will be open for a</w:t>
      </w:r>
      <w:r w:rsidR="00986791" w:rsidRPr="001425E2">
        <w:t>n</w:t>
      </w:r>
      <w:r w:rsidRPr="001425E2">
        <w:t xml:space="preserve"> eight (8) week period.</w:t>
      </w:r>
    </w:p>
    <w:p w14:paraId="5FD4E022" w14:textId="77777777" w:rsidR="00DD7235" w:rsidRDefault="00DD7235" w:rsidP="00DD7235">
      <w:pPr>
        <w:pStyle w:val="DHHSbody"/>
      </w:pPr>
      <w:r w:rsidRPr="71BBB938">
        <w:t xml:space="preserve">Outcomes will be advised in </w:t>
      </w:r>
      <w:r w:rsidR="00E26B2B" w:rsidRPr="001425E2">
        <w:t xml:space="preserve">late </w:t>
      </w:r>
      <w:r w:rsidR="002A122F" w:rsidRPr="001425E2">
        <w:t xml:space="preserve">September </w:t>
      </w:r>
      <w:r w:rsidRPr="001425E2">
        <w:t>2026.</w:t>
      </w:r>
      <w:r w:rsidRPr="71BBB938">
        <w:t xml:space="preserve"> </w:t>
      </w:r>
      <w:r>
        <w:t xml:space="preserve"> </w:t>
      </w:r>
    </w:p>
    <w:p w14:paraId="04A7514C" w14:textId="77777777" w:rsidR="00DD7235" w:rsidRDefault="00DD7235" w:rsidP="00DD7235">
      <w:pPr>
        <w:pStyle w:val="DHHSbody"/>
      </w:pPr>
      <w:r>
        <w:t xml:space="preserve">Late submissions will be </w:t>
      </w:r>
      <w:r w:rsidRPr="00E651D9">
        <w:t>addressed on a case-by-case basis and accepted at the discretion of the Director, Sustaining and Enhancing Capital Programs.</w:t>
      </w:r>
    </w:p>
    <w:p w14:paraId="21E67507" w14:textId="77777777" w:rsidR="00DD7235" w:rsidRDefault="00DD7235" w:rsidP="00DD7235">
      <w:pPr>
        <w:pStyle w:val="Heading1NoNumber"/>
      </w:pPr>
      <w:bookmarkStart w:id="4" w:name="_Toc217405466"/>
      <w:r>
        <w:t>Purpose</w:t>
      </w:r>
      <w:bookmarkEnd w:id="4"/>
    </w:p>
    <w:p w14:paraId="21244BA9" w14:textId="77777777" w:rsidR="00DD7235" w:rsidRPr="00DD7235" w:rsidRDefault="00DD7235" w:rsidP="00DD7235">
      <w:pPr>
        <w:pStyle w:val="BodyText"/>
        <w:rPr>
          <w:rStyle w:val="Templateinstructions"/>
          <w:color w:val="auto"/>
        </w:rPr>
      </w:pPr>
      <w:r w:rsidRPr="00DD7235">
        <w:rPr>
          <w:rStyle w:val="Templateinstructions"/>
          <w:color w:val="auto"/>
        </w:rPr>
        <w:t xml:space="preserve">The purpose of this document is to provide guidelines for health services to complete submissions for RHIF 2025-26. </w:t>
      </w:r>
    </w:p>
    <w:p w14:paraId="08775C21" w14:textId="77777777" w:rsidR="00DD7235" w:rsidRDefault="00DD7235" w:rsidP="00DD7235">
      <w:pPr>
        <w:pStyle w:val="Heading2"/>
        <w:numPr>
          <w:ilvl w:val="0"/>
          <w:numId w:val="0"/>
        </w:numPr>
        <w:rPr>
          <w:rStyle w:val="Templateinstructions"/>
          <w:color w:val="5C7181" w:themeColor="accent6"/>
        </w:rPr>
      </w:pPr>
      <w:bookmarkStart w:id="5" w:name="_Toc217405467"/>
      <w:r w:rsidRPr="00DD7235">
        <w:rPr>
          <w:rStyle w:val="Templateinstructions"/>
          <w:color w:val="5C7181" w:themeColor="accent6"/>
        </w:rPr>
        <w:t>Back</w:t>
      </w:r>
      <w:r>
        <w:rPr>
          <w:rStyle w:val="Templateinstructions"/>
          <w:color w:val="5C7181" w:themeColor="accent6"/>
        </w:rPr>
        <w:t>g</w:t>
      </w:r>
      <w:r w:rsidRPr="00DD7235">
        <w:rPr>
          <w:rStyle w:val="Templateinstructions"/>
          <w:color w:val="5C7181" w:themeColor="accent6"/>
        </w:rPr>
        <w:t>round</w:t>
      </w:r>
      <w:bookmarkEnd w:id="5"/>
    </w:p>
    <w:p w14:paraId="66160746" w14:textId="77777777" w:rsidR="00DD7235" w:rsidRPr="00321502" w:rsidRDefault="00DD7235" w:rsidP="00DD7235">
      <w:r w:rsidRPr="71BBB938">
        <w:t>The Victorian Government established the Regional Health Infrastructure Fund (RHIF) in 2016 to assist rural and regional health services and other eligible agencies to improve service capacity, service efficiency and the ability to deliver contemporary models of care within the regional health sector through minor capital grants. The investment will ensure continuity of services to the public and assist economic recovery.</w:t>
      </w:r>
    </w:p>
    <w:p w14:paraId="7621E57D" w14:textId="77777777" w:rsidR="00DD7235" w:rsidRPr="00986791" w:rsidRDefault="00DD7235" w:rsidP="00DD7235">
      <w:r w:rsidRPr="00986791">
        <w:t>The key objectives of RHIF 2025-26 are to assist regional and rural health services to:</w:t>
      </w:r>
    </w:p>
    <w:p w14:paraId="0D6DDD2E" w14:textId="77777777" w:rsidR="00DD7235" w:rsidRPr="00986791" w:rsidRDefault="00DD7235" w:rsidP="00A64477">
      <w:pPr>
        <w:pStyle w:val="DHHSbullet1"/>
        <w:numPr>
          <w:ilvl w:val="0"/>
          <w:numId w:val="13"/>
        </w:numPr>
        <w:rPr>
          <w:rFonts w:asciiTheme="minorHAnsi" w:hAnsiTheme="minorHAnsi"/>
        </w:rPr>
      </w:pPr>
      <w:r w:rsidRPr="00986791">
        <w:rPr>
          <w:rFonts w:asciiTheme="minorHAnsi" w:hAnsiTheme="minorHAnsi"/>
        </w:rPr>
        <w:t>mitigate infrastructure risk and to maintain patient safety, healthcare worker safety, service availability and business continuity</w:t>
      </w:r>
    </w:p>
    <w:p w14:paraId="4ACAEF6C" w14:textId="77777777" w:rsidR="00DD7235" w:rsidRPr="00986791" w:rsidRDefault="00DD7235" w:rsidP="00A64477">
      <w:pPr>
        <w:pStyle w:val="DHHSbullet1"/>
        <w:numPr>
          <w:ilvl w:val="0"/>
          <w:numId w:val="13"/>
        </w:numPr>
        <w:rPr>
          <w:rFonts w:asciiTheme="minorHAnsi" w:hAnsiTheme="minorHAnsi"/>
        </w:rPr>
      </w:pPr>
      <w:r w:rsidRPr="00986791">
        <w:rPr>
          <w:rFonts w:asciiTheme="minorHAnsi" w:hAnsiTheme="minorHAnsi"/>
        </w:rPr>
        <w:t>enhance service capacity, support contemporary models of care and improve patient and staff amenity</w:t>
      </w:r>
    </w:p>
    <w:p w14:paraId="664FE789" w14:textId="77777777" w:rsidR="00DD7235" w:rsidRPr="00986791" w:rsidRDefault="00DD7235" w:rsidP="00A64477">
      <w:pPr>
        <w:pStyle w:val="DHHSbullet1"/>
        <w:numPr>
          <w:ilvl w:val="0"/>
          <w:numId w:val="13"/>
        </w:numPr>
        <w:rPr>
          <w:rFonts w:asciiTheme="minorHAnsi" w:hAnsiTheme="minorHAnsi"/>
        </w:rPr>
      </w:pPr>
      <w:r w:rsidRPr="00986791">
        <w:rPr>
          <w:rFonts w:asciiTheme="minorHAnsi" w:hAnsiTheme="minorHAnsi"/>
        </w:rPr>
        <w:t>sustain and improve infrastructure assets that provide essential capacity for delivering responsive and appropriate clinical services across rural and regional public health facilities</w:t>
      </w:r>
    </w:p>
    <w:p w14:paraId="227262CA" w14:textId="77777777" w:rsidR="00DD7235" w:rsidRPr="00986791" w:rsidRDefault="00DD7235" w:rsidP="00A64477">
      <w:pPr>
        <w:pStyle w:val="DHHSbullet1"/>
        <w:numPr>
          <w:ilvl w:val="0"/>
          <w:numId w:val="13"/>
        </w:numPr>
        <w:rPr>
          <w:rFonts w:asciiTheme="minorHAnsi" w:hAnsiTheme="minorHAnsi"/>
        </w:rPr>
      </w:pPr>
      <w:r w:rsidRPr="00986791">
        <w:rPr>
          <w:rFonts w:asciiTheme="minorHAnsi" w:hAnsiTheme="minorHAnsi"/>
        </w:rPr>
        <w:t>provide a stronger role for outer regional services that will allow care to be safely provided closer to where people live</w:t>
      </w:r>
    </w:p>
    <w:p w14:paraId="1944A811" w14:textId="77777777" w:rsidR="00DD7235" w:rsidRPr="00986791" w:rsidRDefault="00DD7235" w:rsidP="00A64477">
      <w:pPr>
        <w:pStyle w:val="DHHSbullet1"/>
        <w:numPr>
          <w:ilvl w:val="0"/>
          <w:numId w:val="13"/>
        </w:numPr>
        <w:rPr>
          <w:rFonts w:asciiTheme="minorHAnsi" w:hAnsiTheme="minorHAnsi"/>
        </w:rPr>
      </w:pPr>
      <w:r w:rsidRPr="00986791">
        <w:rPr>
          <w:rFonts w:asciiTheme="minorHAnsi" w:hAnsiTheme="minorHAnsi"/>
        </w:rPr>
        <w:t>further incentivise health services and agencies to implement effective asset management that aligns with existing government frameworks and policies.</w:t>
      </w:r>
    </w:p>
    <w:p w14:paraId="79F04EFE" w14:textId="77777777" w:rsidR="00DD7235" w:rsidRPr="00986791" w:rsidRDefault="00DD7235" w:rsidP="00DD7235">
      <w:pPr>
        <w:spacing w:before="120"/>
      </w:pPr>
      <w:r w:rsidRPr="00986791">
        <w:t>The capital funding will result in delivery of renewal, reconfiguration and refurbishments across a range of projects and service delivery streams and deliver the key state government policy objective of ensuring all Victorians can access high quality health care, no matter where they live.</w:t>
      </w:r>
    </w:p>
    <w:p w14:paraId="131356AB" w14:textId="77777777" w:rsidR="00DD7235" w:rsidRPr="00986791" w:rsidRDefault="00DD7235" w:rsidP="00DD7235">
      <w:pPr>
        <w:pStyle w:val="BodyText"/>
        <w:rPr>
          <w:rFonts w:cs="Arial"/>
        </w:rPr>
      </w:pPr>
      <w:r w:rsidRPr="00986791">
        <w:rPr>
          <w:rFonts w:cs="Arial"/>
        </w:rPr>
        <w:t xml:space="preserve">Funding is available to eligible (appendix </w:t>
      </w:r>
      <w:r w:rsidR="00986791">
        <w:rPr>
          <w:rFonts w:cs="Arial"/>
        </w:rPr>
        <w:t>A</w:t>
      </w:r>
      <w:r w:rsidRPr="00986791">
        <w:rPr>
          <w:rFonts w:cs="Arial"/>
        </w:rPr>
        <w:t>) Victorian public regional and sub-regional health services, local and small rural health services, multipurpose services, public residential aged care services, registered community health services, bush nursing hospitals and centres, women’s health services, Aboriginal Community Controlled Health Organisations and publicly funded community specialist palliative care services</w:t>
      </w:r>
    </w:p>
    <w:p w14:paraId="67F0A347" w14:textId="77777777" w:rsidR="00DD7235" w:rsidRDefault="00DD7235" w:rsidP="00DD7235">
      <w:pPr>
        <w:pStyle w:val="Heading2"/>
        <w:numPr>
          <w:ilvl w:val="0"/>
          <w:numId w:val="0"/>
        </w:numPr>
      </w:pPr>
      <w:bookmarkStart w:id="6" w:name="_Toc217405468"/>
      <w:r>
        <w:t>Principles</w:t>
      </w:r>
      <w:bookmarkEnd w:id="6"/>
    </w:p>
    <w:p w14:paraId="15B4CDBC" w14:textId="77777777" w:rsidR="00DD7235" w:rsidRPr="008D1755" w:rsidRDefault="00DD7235" w:rsidP="00DD7235">
      <w:r w:rsidRPr="008D1755">
        <w:t>Rural and regional agencies are often a driver for local economic development, being the largest employers in their respective areas.</w:t>
      </w:r>
    </w:p>
    <w:p w14:paraId="54457133" w14:textId="77777777" w:rsidR="00DD7235" w:rsidRPr="008D1755" w:rsidRDefault="00DD7235" w:rsidP="00DD7235">
      <w:pPr>
        <w:rPr>
          <w:rFonts w:eastAsiaTheme="minorEastAsia"/>
        </w:rPr>
      </w:pPr>
      <w:r w:rsidRPr="71BBB938">
        <w:lastRenderedPageBreak/>
        <w:t>The disparity in health outcomes between people in rural and regional areas is well documented. These reflect both higher exposure to risk factors and poorer access to healthcare. Capacity building and infrastructure investment ensures that everyone in Victoria has access to the care they need, when and where they need it, regardless of where they live.</w:t>
      </w:r>
    </w:p>
    <w:p w14:paraId="07148B72" w14:textId="77777777" w:rsidR="00DD7235" w:rsidRPr="008D1755" w:rsidRDefault="00DD7235" w:rsidP="00DD7235">
      <w:pPr>
        <w:rPr>
          <w:rFonts w:eastAsiaTheme="minorEastAsia"/>
        </w:rPr>
      </w:pPr>
      <w:r w:rsidRPr="71BBB938">
        <w:t>The Fund will assist rural and regional health agencies to improve safety and quality of services, service capacity, models of service delivery, amenity and service efficiencies.</w:t>
      </w:r>
    </w:p>
    <w:p w14:paraId="3A3646B1" w14:textId="77777777" w:rsidR="00DD7235" w:rsidRPr="008D1755" w:rsidRDefault="00DD7235" w:rsidP="00DD7235">
      <w:r w:rsidRPr="008D1755">
        <w:t xml:space="preserve">The Fund aligns with the Department of Treasury and Finance and the Victorian Health Building Authority </w:t>
      </w:r>
      <w:r>
        <w:t xml:space="preserve">(VHBA) </w:t>
      </w:r>
      <w:r w:rsidRPr="008D1755">
        <w:t>asset management frameworks and asset management policies, principles, and practice, available at the following links:</w:t>
      </w:r>
    </w:p>
    <w:p w14:paraId="4F42C992" w14:textId="77777777" w:rsidR="00DD7235" w:rsidRPr="008D1755" w:rsidRDefault="00DD7235" w:rsidP="00A64477">
      <w:pPr>
        <w:numPr>
          <w:ilvl w:val="0"/>
          <w:numId w:val="14"/>
        </w:numPr>
        <w:spacing w:before="0" w:after="40" w:line="270" w:lineRule="atLeast"/>
        <w:ind w:left="397" w:hanging="397"/>
        <w:rPr>
          <w:rFonts w:ascii="Arial" w:hAnsi="Arial"/>
          <w:color w:val="0563C1"/>
          <w:u w:val="dotted"/>
        </w:rPr>
      </w:pPr>
      <w:hyperlink r:id="rId20" w:history="1">
        <w:r w:rsidRPr="008D1755">
          <w:rPr>
            <w:rFonts w:ascii="Arial" w:hAnsi="Arial"/>
            <w:color w:val="0563C1"/>
            <w:u w:val="dotted"/>
          </w:rPr>
          <w:t>Asset Management Accountability Framework</w:t>
        </w:r>
      </w:hyperlink>
      <w:r w:rsidRPr="008D1755">
        <w:rPr>
          <w:rFonts w:ascii="Arial" w:hAnsi="Arial"/>
        </w:rPr>
        <w:t xml:space="preserve"> &lt;https://www.dtf.vic.gov.au/infrastructure-investment/asset-management-accountability-framework&gt; </w:t>
      </w:r>
      <w:bookmarkStart w:id="7" w:name="_Hlk61600571"/>
    </w:p>
    <w:bookmarkEnd w:id="7"/>
    <w:p w14:paraId="503BB4A3" w14:textId="77777777" w:rsidR="00DD7235" w:rsidRPr="00986791" w:rsidRDefault="00DD7235" w:rsidP="00DD7235">
      <w:pPr>
        <w:pStyle w:val="VHBAbodyafterbullets"/>
      </w:pPr>
      <w:r w:rsidRPr="71BBB938">
        <w:t xml:space="preserve">The intent of the government’s asset management policy is to achieve service delivery objectives, and it creates an obligation for both the department (from a system perspective) and health services (from a local </w:t>
      </w:r>
      <w:r w:rsidRPr="00986791">
        <w:t>perspective).</w:t>
      </w:r>
    </w:p>
    <w:p w14:paraId="1D8DBFD0" w14:textId="77777777" w:rsidR="00DD7235" w:rsidRPr="00986791" w:rsidRDefault="00DD7235" w:rsidP="00DD7235">
      <w:pPr>
        <w:spacing w:before="120"/>
      </w:pPr>
      <w:r w:rsidRPr="00986791">
        <w:t>Asset management is a whole-of-asset-lifecycle obligation requiring an understanding of need, capacity, condition, opportunity, and risk to drive value-for-money service outcomes.</w:t>
      </w:r>
    </w:p>
    <w:p w14:paraId="620445EF" w14:textId="77777777" w:rsidR="00DD7235" w:rsidRPr="00986791" w:rsidRDefault="00DD7235" w:rsidP="00DD7235">
      <w:pPr>
        <w:spacing w:before="120"/>
      </w:pPr>
      <w:r w:rsidRPr="00986791">
        <w:t>Appropriate local and central governance arrangements oversee asset planning, investment prioritisation of in-scope items based on risk and, in the case of health services, oversee the replacement process.</w:t>
      </w:r>
    </w:p>
    <w:p w14:paraId="58FBC494" w14:textId="77777777" w:rsidR="00DD7235" w:rsidRPr="00986791" w:rsidRDefault="00DD7235" w:rsidP="00DD7235">
      <w:pPr>
        <w:spacing w:before="120"/>
      </w:pPr>
      <w:r w:rsidRPr="00986791">
        <w:t>Accurate and timely reporting of expenditure enables analysis of future investment needs, reporting to government on expenditure consistent with the defined purpose of the funding provision, and provides a robust information base for program audit.</w:t>
      </w:r>
    </w:p>
    <w:p w14:paraId="4DB14B0A" w14:textId="77777777" w:rsidR="00DD7235" w:rsidRPr="00986791" w:rsidRDefault="00DD7235" w:rsidP="00DD7235">
      <w:pPr>
        <w:spacing w:before="120"/>
      </w:pPr>
      <w:r w:rsidRPr="00986791">
        <w:t>Health services and agencies’ asset replacement determination needs to be based on departmental frameworks and guidelines for prioritisation, risk management and service planning, as well as the service’s role within the health system.</w:t>
      </w:r>
    </w:p>
    <w:p w14:paraId="2598A057" w14:textId="77777777" w:rsidR="00DD7235" w:rsidRDefault="00DD7235" w:rsidP="00DD7235">
      <w:pPr>
        <w:spacing w:before="0" w:after="200" w:line="276" w:lineRule="auto"/>
        <w:rPr>
          <w:rStyle w:val="Templateinstructions"/>
        </w:rPr>
      </w:pPr>
      <w:r>
        <w:rPr>
          <w:rStyle w:val="Templateinstructions"/>
        </w:rPr>
        <w:br w:type="page"/>
      </w:r>
    </w:p>
    <w:p w14:paraId="6B4BFE0C" w14:textId="77777777" w:rsidR="00DD7235" w:rsidRPr="00DD7235" w:rsidRDefault="00DD7235" w:rsidP="00DD7235">
      <w:pPr>
        <w:pStyle w:val="Heading1"/>
        <w:numPr>
          <w:ilvl w:val="0"/>
          <w:numId w:val="0"/>
        </w:numPr>
        <w:ind w:left="1021" w:hanging="1021"/>
      </w:pPr>
      <w:bookmarkStart w:id="8" w:name="_Toc217405469"/>
      <w:r>
        <w:lastRenderedPageBreak/>
        <w:t>RHIF 2025-26 Streams</w:t>
      </w:r>
      <w:bookmarkEnd w:id="8"/>
    </w:p>
    <w:p w14:paraId="5D5E0765" w14:textId="77777777" w:rsidR="00A73694" w:rsidRPr="00F8481B" w:rsidRDefault="00DD7235" w:rsidP="00DD7235">
      <w:pPr>
        <w:pStyle w:val="Heading2"/>
        <w:numPr>
          <w:ilvl w:val="0"/>
          <w:numId w:val="0"/>
        </w:numPr>
      </w:pPr>
      <w:bookmarkStart w:id="9" w:name="_Toc217405470"/>
      <w:r>
        <w:t>Stream 1 Projects – Ready for Implementation</w:t>
      </w:r>
      <w:bookmarkEnd w:id="9"/>
    </w:p>
    <w:p w14:paraId="7B4EA367" w14:textId="77777777" w:rsidR="007010F5" w:rsidRDefault="007010F5" w:rsidP="007010F5">
      <w:r w:rsidRPr="71BBB938">
        <w:t>Submissions for Stream 1 projects will be considered for full funding if they are ready to commence construction / delivery, with appropriate certainty in the following areas (dependent on nature of project):</w:t>
      </w:r>
    </w:p>
    <w:p w14:paraId="12DF8DF9" w14:textId="77777777" w:rsidR="00A73694" w:rsidRPr="00E26B2B" w:rsidRDefault="00A73694" w:rsidP="00A73694">
      <w:pPr>
        <w:pStyle w:val="Caption"/>
        <w:ind w:left="851" w:hanging="851"/>
        <w:rPr>
          <w:color w:val="455460" w:themeColor="accent6" w:themeShade="BF"/>
        </w:rPr>
      </w:pPr>
      <w:bookmarkStart w:id="10" w:name="_Toc209707327"/>
      <w:r w:rsidRPr="00E26B2B">
        <w:rPr>
          <w:color w:val="455460" w:themeColor="accent6" w:themeShade="BF"/>
        </w:rPr>
        <w:t>Table </w:t>
      </w:r>
      <w:r w:rsidRPr="00E26B2B">
        <w:rPr>
          <w:color w:val="455460" w:themeColor="accent6" w:themeShade="BF"/>
        </w:rPr>
        <w:fldChar w:fldCharType="begin"/>
      </w:r>
      <w:r w:rsidRPr="00E26B2B">
        <w:rPr>
          <w:color w:val="455460" w:themeColor="accent6" w:themeShade="BF"/>
        </w:rPr>
        <w:instrText xml:space="preserve"> SEQ Table \* ARABIC </w:instrText>
      </w:r>
      <w:r w:rsidRPr="00E26B2B">
        <w:rPr>
          <w:color w:val="455460" w:themeColor="accent6" w:themeShade="BF"/>
        </w:rPr>
        <w:fldChar w:fldCharType="separate"/>
      </w:r>
      <w:r w:rsidR="008F61A7">
        <w:rPr>
          <w:noProof/>
          <w:color w:val="455460" w:themeColor="accent6" w:themeShade="BF"/>
        </w:rPr>
        <w:t>1</w:t>
      </w:r>
      <w:r w:rsidRPr="00E26B2B">
        <w:rPr>
          <w:noProof/>
          <w:color w:val="455460" w:themeColor="accent6" w:themeShade="BF"/>
        </w:rPr>
        <w:fldChar w:fldCharType="end"/>
      </w:r>
      <w:r w:rsidRPr="00E26B2B">
        <w:rPr>
          <w:color w:val="455460" w:themeColor="accent6" w:themeShade="BF"/>
        </w:rPr>
        <w:tab/>
      </w:r>
      <w:r w:rsidR="007010F5" w:rsidRPr="00E26B2B">
        <w:rPr>
          <w:color w:val="455460" w:themeColor="accent6" w:themeShade="BF"/>
        </w:rPr>
        <w:t>I</w:t>
      </w:r>
      <w:bookmarkEnd w:id="10"/>
      <w:r w:rsidR="007010F5" w:rsidRPr="00E26B2B">
        <w:rPr>
          <w:color w:val="455460" w:themeColor="accent6" w:themeShade="BF"/>
        </w:rPr>
        <w:t>tems for submission</w:t>
      </w:r>
    </w:p>
    <w:tbl>
      <w:tblPr>
        <w:tblStyle w:val="MainTableStyle"/>
        <w:tblW w:w="0" w:type="auto"/>
        <w:tblLayout w:type="fixed"/>
        <w:tblLook w:val="0620" w:firstRow="1" w:lastRow="0" w:firstColumn="0" w:lastColumn="0" w:noHBand="1" w:noVBand="1"/>
      </w:tblPr>
      <w:tblGrid>
        <w:gridCol w:w="5812"/>
        <w:gridCol w:w="1985"/>
        <w:gridCol w:w="1841"/>
      </w:tblGrid>
      <w:tr w:rsidR="00A73694" w14:paraId="12392797" w14:textId="77777777" w:rsidTr="007010F5">
        <w:trPr>
          <w:cnfStyle w:val="100000000000" w:firstRow="1" w:lastRow="0" w:firstColumn="0" w:lastColumn="0" w:oddVBand="0" w:evenVBand="0" w:oddHBand="0" w:evenHBand="0" w:firstRowFirstColumn="0" w:firstRowLastColumn="0" w:lastRowFirstColumn="0" w:lastRowLastColumn="0"/>
        </w:trPr>
        <w:tc>
          <w:tcPr>
            <w:tcW w:w="5812" w:type="dxa"/>
          </w:tcPr>
          <w:p w14:paraId="25563E22" w14:textId="77777777" w:rsidR="00A73694" w:rsidRPr="000C5A97" w:rsidRDefault="007010F5" w:rsidP="00A64477">
            <w:pPr>
              <w:pStyle w:val="TableText"/>
              <w:numPr>
                <w:ilvl w:val="0"/>
                <w:numId w:val="2"/>
              </w:numPr>
              <w:rPr>
                <w:b/>
                <w:bCs/>
                <w:color w:val="FFFFFF" w:themeColor="background1"/>
              </w:rPr>
            </w:pPr>
            <w:r>
              <w:rPr>
                <w:b/>
                <w:bCs/>
                <w:color w:val="FFFFFF" w:themeColor="background1"/>
              </w:rPr>
              <w:t>Requirements</w:t>
            </w:r>
          </w:p>
        </w:tc>
        <w:tc>
          <w:tcPr>
            <w:tcW w:w="1985" w:type="dxa"/>
          </w:tcPr>
          <w:p w14:paraId="789A6C6C" w14:textId="77777777" w:rsidR="00A73694" w:rsidRPr="000C5A97" w:rsidRDefault="007010F5" w:rsidP="00A64477">
            <w:pPr>
              <w:pStyle w:val="TableText"/>
              <w:numPr>
                <w:ilvl w:val="0"/>
                <w:numId w:val="2"/>
              </w:numPr>
              <w:rPr>
                <w:b/>
                <w:bCs/>
                <w:color w:val="FFFFFF" w:themeColor="background1"/>
              </w:rPr>
            </w:pPr>
            <w:r>
              <w:rPr>
                <w:b/>
                <w:bCs/>
                <w:color w:val="FFFFFF" w:themeColor="background1"/>
              </w:rPr>
              <w:t>Construction or refurbishment projects less than $2.0m</w:t>
            </w:r>
          </w:p>
        </w:tc>
        <w:tc>
          <w:tcPr>
            <w:tcW w:w="1841" w:type="dxa"/>
          </w:tcPr>
          <w:p w14:paraId="573E75C7" w14:textId="77777777" w:rsidR="00A73694" w:rsidRPr="000C5A97" w:rsidRDefault="007010F5" w:rsidP="00A64477">
            <w:pPr>
              <w:pStyle w:val="TableText"/>
              <w:numPr>
                <w:ilvl w:val="0"/>
                <w:numId w:val="2"/>
              </w:numPr>
              <w:rPr>
                <w:b/>
                <w:bCs/>
                <w:color w:val="FFFFFF" w:themeColor="background1"/>
              </w:rPr>
            </w:pPr>
            <w:r>
              <w:rPr>
                <w:b/>
                <w:bCs/>
                <w:color w:val="FFFFFF" w:themeColor="background1"/>
              </w:rPr>
              <w:t>Construction or refurbishment projects in excess of $2.00m</w:t>
            </w:r>
          </w:p>
        </w:tc>
      </w:tr>
      <w:tr w:rsidR="007010F5" w14:paraId="7CEC9426" w14:textId="77777777" w:rsidTr="007010F5">
        <w:tc>
          <w:tcPr>
            <w:tcW w:w="5812" w:type="dxa"/>
          </w:tcPr>
          <w:p w14:paraId="35B08C98" w14:textId="77777777" w:rsidR="007010F5" w:rsidRPr="000257DE" w:rsidRDefault="007010F5" w:rsidP="00A64477">
            <w:pPr>
              <w:pStyle w:val="TableText"/>
              <w:numPr>
                <w:ilvl w:val="0"/>
                <w:numId w:val="2"/>
              </w:numPr>
            </w:pPr>
            <w:r w:rsidRPr="71BBB938">
              <w:t>Evidence of discussions and at minimum, email confirming in-principle support by H</w:t>
            </w:r>
            <w:r>
              <w:t>S</w:t>
            </w:r>
            <w:r w:rsidRPr="71BBB938">
              <w:t>S</w:t>
            </w:r>
            <w:r>
              <w:t>I</w:t>
            </w:r>
          </w:p>
        </w:tc>
        <w:tc>
          <w:tcPr>
            <w:tcW w:w="1985" w:type="dxa"/>
          </w:tcPr>
          <w:p w14:paraId="510E7AA9" w14:textId="77777777" w:rsidR="007010F5" w:rsidRPr="000257DE" w:rsidRDefault="007010F5" w:rsidP="00A64477">
            <w:pPr>
              <w:pStyle w:val="TableText"/>
              <w:numPr>
                <w:ilvl w:val="0"/>
                <w:numId w:val="2"/>
              </w:numPr>
            </w:pPr>
            <w:r>
              <w:t xml:space="preserve">  Mandatory</w:t>
            </w:r>
          </w:p>
        </w:tc>
        <w:tc>
          <w:tcPr>
            <w:tcW w:w="1841" w:type="dxa"/>
          </w:tcPr>
          <w:p w14:paraId="33847E43" w14:textId="77777777" w:rsidR="007010F5" w:rsidRPr="000257DE" w:rsidRDefault="007010F5" w:rsidP="00A64477">
            <w:pPr>
              <w:pStyle w:val="TableText"/>
              <w:numPr>
                <w:ilvl w:val="0"/>
                <w:numId w:val="2"/>
              </w:numPr>
            </w:pPr>
            <w:r w:rsidRPr="005B1508">
              <w:t>Mandatory</w:t>
            </w:r>
          </w:p>
        </w:tc>
      </w:tr>
      <w:tr w:rsidR="007010F5" w14:paraId="660C69C4" w14:textId="77777777" w:rsidTr="007010F5">
        <w:tc>
          <w:tcPr>
            <w:tcW w:w="5812" w:type="dxa"/>
          </w:tcPr>
          <w:p w14:paraId="1AFC5E68" w14:textId="77777777" w:rsidR="007010F5" w:rsidRPr="000257DE" w:rsidRDefault="007010F5" w:rsidP="00A64477">
            <w:pPr>
              <w:pStyle w:val="TableText"/>
              <w:numPr>
                <w:ilvl w:val="0"/>
                <w:numId w:val="2"/>
              </w:numPr>
            </w:pPr>
            <w:r w:rsidRPr="00505E2D">
              <w:t>Project Management Plan</w:t>
            </w:r>
            <w:r>
              <w:t xml:space="preserve"> or Agency Procurement Governance Framework Document for projects associated with equipment purchases</w:t>
            </w:r>
            <w:r w:rsidRPr="00505E2D">
              <w:t xml:space="preserve"> </w:t>
            </w:r>
          </w:p>
        </w:tc>
        <w:tc>
          <w:tcPr>
            <w:tcW w:w="1985" w:type="dxa"/>
          </w:tcPr>
          <w:p w14:paraId="5EBE8522" w14:textId="77777777" w:rsidR="007010F5" w:rsidRPr="000257DE" w:rsidRDefault="007010F5" w:rsidP="00A64477">
            <w:pPr>
              <w:pStyle w:val="TableText"/>
              <w:numPr>
                <w:ilvl w:val="0"/>
                <w:numId w:val="2"/>
              </w:numPr>
            </w:pPr>
            <w:r w:rsidRPr="6942725A">
              <w:rPr>
                <w:rFonts w:ascii="Arial" w:eastAsia="Times New Roman" w:hAnsi="Arial" w:cs="Arial"/>
                <w:lang w:eastAsia="en-AU"/>
              </w:rPr>
              <w:t xml:space="preserve">  Desirable</w:t>
            </w:r>
          </w:p>
        </w:tc>
        <w:tc>
          <w:tcPr>
            <w:tcW w:w="1841" w:type="dxa"/>
          </w:tcPr>
          <w:p w14:paraId="4E0662E2" w14:textId="77777777" w:rsidR="007010F5" w:rsidRPr="000257DE" w:rsidRDefault="007010F5" w:rsidP="00A64477">
            <w:pPr>
              <w:pStyle w:val="TableText"/>
              <w:numPr>
                <w:ilvl w:val="0"/>
                <w:numId w:val="2"/>
              </w:numPr>
            </w:pPr>
            <w:r>
              <w:rPr>
                <w:rFonts w:ascii="Arial" w:eastAsia="Times New Roman" w:hAnsi="Arial" w:cs="Arial"/>
                <w:lang w:eastAsia="en-AU"/>
              </w:rPr>
              <w:t>Mandatory</w:t>
            </w:r>
          </w:p>
        </w:tc>
      </w:tr>
      <w:tr w:rsidR="007010F5" w14:paraId="6FC6B2CA" w14:textId="77777777" w:rsidTr="007010F5">
        <w:tc>
          <w:tcPr>
            <w:tcW w:w="5812" w:type="dxa"/>
          </w:tcPr>
          <w:p w14:paraId="0542731A" w14:textId="77777777" w:rsidR="007010F5" w:rsidRPr="000257DE" w:rsidRDefault="007010F5" w:rsidP="00A64477">
            <w:pPr>
              <w:pStyle w:val="TableText"/>
              <w:numPr>
                <w:ilvl w:val="0"/>
                <w:numId w:val="2"/>
              </w:numPr>
            </w:pPr>
            <w:r w:rsidRPr="00511900">
              <w:t>Detailed design drawings, documents, and technical specifications beyond conceptual, sketch or preliminary documentation phase.</w:t>
            </w:r>
          </w:p>
        </w:tc>
        <w:tc>
          <w:tcPr>
            <w:tcW w:w="1985" w:type="dxa"/>
          </w:tcPr>
          <w:p w14:paraId="61465953" w14:textId="77777777" w:rsidR="007010F5" w:rsidRPr="000257DE" w:rsidRDefault="007010F5" w:rsidP="00A64477">
            <w:pPr>
              <w:pStyle w:val="TableText"/>
              <w:numPr>
                <w:ilvl w:val="0"/>
                <w:numId w:val="2"/>
              </w:numPr>
            </w:pPr>
            <w:r>
              <w:rPr>
                <w:rFonts w:ascii="Arial" w:eastAsia="Times New Roman" w:hAnsi="Arial" w:cs="Arial"/>
                <w:spacing w:val="-2"/>
                <w:lang w:eastAsia="en-AU"/>
              </w:rPr>
              <w:t xml:space="preserve">  Mandatory</w:t>
            </w:r>
          </w:p>
        </w:tc>
        <w:tc>
          <w:tcPr>
            <w:tcW w:w="1841" w:type="dxa"/>
          </w:tcPr>
          <w:p w14:paraId="62DDBDC9" w14:textId="77777777" w:rsidR="007010F5" w:rsidRPr="000257DE" w:rsidRDefault="007010F5" w:rsidP="00A64477">
            <w:pPr>
              <w:pStyle w:val="TableText"/>
              <w:numPr>
                <w:ilvl w:val="0"/>
                <w:numId w:val="2"/>
              </w:numPr>
            </w:pPr>
            <w:r>
              <w:rPr>
                <w:rFonts w:ascii="Arial" w:eastAsia="Times New Roman" w:hAnsi="Arial" w:cs="Arial"/>
                <w:lang w:eastAsia="en-AU"/>
              </w:rPr>
              <w:t>Mandatory</w:t>
            </w:r>
          </w:p>
        </w:tc>
      </w:tr>
      <w:tr w:rsidR="007010F5" w14:paraId="701C18B3" w14:textId="77777777" w:rsidTr="007010F5">
        <w:tc>
          <w:tcPr>
            <w:tcW w:w="5812" w:type="dxa"/>
          </w:tcPr>
          <w:p w14:paraId="34C5E95E" w14:textId="77777777" w:rsidR="007010F5" w:rsidRPr="000257DE" w:rsidRDefault="007010F5" w:rsidP="00A64477">
            <w:pPr>
              <w:pStyle w:val="TableText"/>
              <w:numPr>
                <w:ilvl w:val="0"/>
                <w:numId w:val="2"/>
              </w:numPr>
            </w:pPr>
            <w:r w:rsidRPr="009471BE">
              <w:t>Completed “Project Budget Summary Template”</w:t>
            </w:r>
          </w:p>
        </w:tc>
        <w:tc>
          <w:tcPr>
            <w:tcW w:w="1985" w:type="dxa"/>
          </w:tcPr>
          <w:p w14:paraId="279689E6" w14:textId="77777777" w:rsidR="007010F5" w:rsidRPr="000257DE" w:rsidRDefault="007010F5" w:rsidP="00A64477">
            <w:pPr>
              <w:pStyle w:val="TableText"/>
              <w:numPr>
                <w:ilvl w:val="0"/>
                <w:numId w:val="2"/>
              </w:numPr>
            </w:pPr>
            <w:r>
              <w:t xml:space="preserve">  Mandatory</w:t>
            </w:r>
          </w:p>
        </w:tc>
        <w:tc>
          <w:tcPr>
            <w:tcW w:w="1841" w:type="dxa"/>
          </w:tcPr>
          <w:p w14:paraId="553512B9" w14:textId="77777777" w:rsidR="007010F5" w:rsidRPr="000257DE" w:rsidRDefault="007010F5" w:rsidP="00A64477">
            <w:pPr>
              <w:pStyle w:val="TableText"/>
              <w:numPr>
                <w:ilvl w:val="0"/>
                <w:numId w:val="2"/>
              </w:numPr>
            </w:pPr>
            <w:r w:rsidRPr="009471BE">
              <w:t>Mandatory</w:t>
            </w:r>
          </w:p>
        </w:tc>
      </w:tr>
      <w:tr w:rsidR="007010F5" w14:paraId="3E071998" w14:textId="77777777" w:rsidTr="007010F5">
        <w:tc>
          <w:tcPr>
            <w:tcW w:w="5812" w:type="dxa"/>
          </w:tcPr>
          <w:p w14:paraId="00EC6E89" w14:textId="77777777" w:rsidR="007010F5" w:rsidRPr="000257DE" w:rsidRDefault="007010F5" w:rsidP="00A64477">
            <w:pPr>
              <w:pStyle w:val="TableText"/>
              <w:numPr>
                <w:ilvl w:val="0"/>
                <w:numId w:val="2"/>
              </w:numPr>
            </w:pPr>
            <w:r w:rsidRPr="001E16B8">
              <w:t xml:space="preserve">Detailed cost plan from an independent professional </w:t>
            </w:r>
            <w:r w:rsidRPr="00C24C65">
              <w:rPr>
                <w:b/>
              </w:rPr>
              <w:t>quantity surveyor</w:t>
            </w:r>
            <w:r w:rsidRPr="001E16B8">
              <w:t>, which includes acceptable allowances for design, construction contingencies, escalation, and cost risk</w:t>
            </w:r>
          </w:p>
        </w:tc>
        <w:tc>
          <w:tcPr>
            <w:tcW w:w="1985" w:type="dxa"/>
          </w:tcPr>
          <w:p w14:paraId="095939A4" w14:textId="77777777" w:rsidR="007010F5" w:rsidRPr="000257DE" w:rsidRDefault="007010F5" w:rsidP="00A64477">
            <w:pPr>
              <w:pStyle w:val="TableText"/>
              <w:numPr>
                <w:ilvl w:val="0"/>
                <w:numId w:val="2"/>
              </w:numPr>
            </w:pPr>
            <w:r w:rsidRPr="00151E42">
              <w:rPr>
                <w:rFonts w:ascii="Arial" w:eastAsia="Times New Roman" w:hAnsi="Arial" w:cs="Arial"/>
                <w:spacing w:val="-2"/>
                <w:lang w:eastAsia="en-AU"/>
              </w:rPr>
              <w:t xml:space="preserve">  Mandatory</w:t>
            </w:r>
          </w:p>
        </w:tc>
        <w:tc>
          <w:tcPr>
            <w:tcW w:w="1841" w:type="dxa"/>
          </w:tcPr>
          <w:p w14:paraId="3F050113" w14:textId="77777777" w:rsidR="007010F5" w:rsidRPr="000257DE" w:rsidRDefault="007010F5" w:rsidP="00A64477">
            <w:pPr>
              <w:pStyle w:val="TableText"/>
              <w:numPr>
                <w:ilvl w:val="0"/>
                <w:numId w:val="2"/>
              </w:numPr>
            </w:pPr>
            <w:r>
              <w:rPr>
                <w:rFonts w:ascii="Arial" w:eastAsia="Times New Roman" w:hAnsi="Arial" w:cs="Arial"/>
                <w:lang w:eastAsia="en-AU"/>
              </w:rPr>
              <w:t>Mandatory</w:t>
            </w:r>
          </w:p>
        </w:tc>
      </w:tr>
      <w:tr w:rsidR="007010F5" w14:paraId="1E70D9C9" w14:textId="77777777" w:rsidTr="007010F5">
        <w:tc>
          <w:tcPr>
            <w:tcW w:w="5812" w:type="dxa"/>
          </w:tcPr>
          <w:p w14:paraId="316DBCBA" w14:textId="77777777" w:rsidR="007010F5" w:rsidRPr="001E16B8" w:rsidRDefault="007010F5" w:rsidP="007010F5">
            <w:pPr>
              <w:kinsoku w:val="0"/>
              <w:overflowPunct w:val="0"/>
              <w:autoSpaceDE w:val="0"/>
              <w:autoSpaceDN w:val="0"/>
              <w:adjustRightInd w:val="0"/>
              <w:spacing w:before="77" w:after="0" w:line="256" w:lineRule="auto"/>
              <w:ind w:left="154" w:right="7"/>
            </w:pPr>
            <w:r w:rsidRPr="00C22D63">
              <w:t>Documentation is complete and procurement processes in place to enable invitation of market tenders for construction / delivery quotations</w:t>
            </w:r>
            <w:r w:rsidRPr="001E16B8">
              <w:t>.</w:t>
            </w:r>
          </w:p>
          <w:p w14:paraId="59EE039C" w14:textId="77777777" w:rsidR="007010F5" w:rsidRPr="000257DE" w:rsidRDefault="007010F5" w:rsidP="00A64477">
            <w:pPr>
              <w:pStyle w:val="TableText"/>
              <w:numPr>
                <w:ilvl w:val="0"/>
                <w:numId w:val="2"/>
              </w:numPr>
            </w:pPr>
            <w:r>
              <w:t>- T</w:t>
            </w:r>
            <w:r w:rsidRPr="001E16B8">
              <w:t xml:space="preserve">ender documentation including </w:t>
            </w:r>
            <w:r>
              <w:t>agency endorsed procurement plan and contractor engagement brief.</w:t>
            </w:r>
            <w:r w:rsidRPr="001E16B8">
              <w:t xml:space="preserve"> </w:t>
            </w:r>
          </w:p>
        </w:tc>
        <w:tc>
          <w:tcPr>
            <w:tcW w:w="1985" w:type="dxa"/>
          </w:tcPr>
          <w:p w14:paraId="1B0D61EC" w14:textId="77777777" w:rsidR="007010F5" w:rsidRPr="000257DE" w:rsidRDefault="007010F5" w:rsidP="00A64477">
            <w:pPr>
              <w:pStyle w:val="TableText"/>
              <w:numPr>
                <w:ilvl w:val="0"/>
                <w:numId w:val="2"/>
              </w:numPr>
            </w:pPr>
            <w:r>
              <w:rPr>
                <w:rFonts w:ascii="Arial" w:eastAsia="Times New Roman" w:hAnsi="Arial" w:cs="Arial"/>
                <w:spacing w:val="-2"/>
                <w:lang w:eastAsia="en-AU"/>
              </w:rPr>
              <w:t>Desirable</w:t>
            </w:r>
          </w:p>
        </w:tc>
        <w:tc>
          <w:tcPr>
            <w:tcW w:w="1841" w:type="dxa"/>
          </w:tcPr>
          <w:p w14:paraId="6B7263F0" w14:textId="77777777" w:rsidR="007010F5" w:rsidRPr="000257DE" w:rsidRDefault="007010F5" w:rsidP="00A64477">
            <w:pPr>
              <w:pStyle w:val="TableText"/>
              <w:numPr>
                <w:ilvl w:val="0"/>
                <w:numId w:val="2"/>
              </w:numPr>
            </w:pPr>
            <w:r w:rsidRPr="6942725A">
              <w:rPr>
                <w:rFonts w:ascii="Arial" w:eastAsia="Times New Roman" w:hAnsi="Arial" w:cs="Arial"/>
                <w:lang w:eastAsia="en-AU"/>
              </w:rPr>
              <w:t xml:space="preserve">  Desirable</w:t>
            </w:r>
          </w:p>
        </w:tc>
      </w:tr>
      <w:tr w:rsidR="007010F5" w14:paraId="2A29CFF1" w14:textId="77777777" w:rsidTr="007010F5">
        <w:tc>
          <w:tcPr>
            <w:tcW w:w="5812" w:type="dxa"/>
          </w:tcPr>
          <w:p w14:paraId="6A5FC790" w14:textId="77777777" w:rsidR="007010F5" w:rsidRPr="000257DE" w:rsidRDefault="007010F5" w:rsidP="00A64477">
            <w:pPr>
              <w:pStyle w:val="TableText"/>
              <w:numPr>
                <w:ilvl w:val="0"/>
                <w:numId w:val="2"/>
              </w:numPr>
            </w:pPr>
            <w:r w:rsidRPr="001E16B8">
              <w:t>Schedule of specialist medical equipment (including cost estimates for individual items)</w:t>
            </w:r>
          </w:p>
        </w:tc>
        <w:tc>
          <w:tcPr>
            <w:tcW w:w="1985" w:type="dxa"/>
          </w:tcPr>
          <w:p w14:paraId="7777CD74" w14:textId="77777777" w:rsidR="007010F5" w:rsidRPr="000257DE" w:rsidRDefault="007010F5" w:rsidP="00A64477">
            <w:pPr>
              <w:pStyle w:val="TableText"/>
              <w:numPr>
                <w:ilvl w:val="0"/>
                <w:numId w:val="2"/>
              </w:numPr>
            </w:pPr>
            <w:r w:rsidRPr="002A75A9">
              <w:rPr>
                <w:rFonts w:ascii="Arial" w:eastAsia="Times New Roman" w:hAnsi="Arial" w:cs="Arial"/>
                <w:spacing w:val="-2"/>
                <w:lang w:eastAsia="en-AU"/>
              </w:rPr>
              <w:t xml:space="preserve">  Mandatory</w:t>
            </w:r>
          </w:p>
        </w:tc>
        <w:tc>
          <w:tcPr>
            <w:tcW w:w="1841" w:type="dxa"/>
          </w:tcPr>
          <w:p w14:paraId="4A11DBCB" w14:textId="77777777" w:rsidR="007010F5" w:rsidRPr="000257DE" w:rsidRDefault="007010F5" w:rsidP="00A64477">
            <w:pPr>
              <w:pStyle w:val="TableText"/>
              <w:numPr>
                <w:ilvl w:val="0"/>
                <w:numId w:val="2"/>
              </w:numPr>
            </w:pPr>
            <w:r>
              <w:rPr>
                <w:rFonts w:ascii="Arial" w:eastAsia="Times New Roman" w:hAnsi="Arial" w:cs="Arial"/>
                <w:lang w:eastAsia="en-AU"/>
              </w:rPr>
              <w:t>Mandatory</w:t>
            </w:r>
          </w:p>
        </w:tc>
      </w:tr>
      <w:tr w:rsidR="007010F5" w14:paraId="33CF0E48" w14:textId="77777777" w:rsidTr="007010F5">
        <w:tc>
          <w:tcPr>
            <w:tcW w:w="5812" w:type="dxa"/>
          </w:tcPr>
          <w:p w14:paraId="211B182F" w14:textId="77777777" w:rsidR="007010F5" w:rsidRPr="000257DE" w:rsidRDefault="007010F5" w:rsidP="00A64477">
            <w:pPr>
              <w:pStyle w:val="TableText"/>
              <w:numPr>
                <w:ilvl w:val="0"/>
                <w:numId w:val="2"/>
              </w:numPr>
            </w:pPr>
            <w:r w:rsidRPr="71BBB938">
              <w:t>Realistic timeframes for completion, accompanied by an appropriately detailed programme and timeline predictions in line with VHBA milestone dates</w:t>
            </w:r>
          </w:p>
        </w:tc>
        <w:tc>
          <w:tcPr>
            <w:tcW w:w="1985" w:type="dxa"/>
          </w:tcPr>
          <w:p w14:paraId="277B8F6E" w14:textId="77777777" w:rsidR="007010F5" w:rsidRPr="000257DE" w:rsidRDefault="007010F5" w:rsidP="00A64477">
            <w:pPr>
              <w:pStyle w:val="TableText"/>
              <w:numPr>
                <w:ilvl w:val="0"/>
                <w:numId w:val="2"/>
              </w:numPr>
            </w:pPr>
            <w:r>
              <w:rPr>
                <w:rFonts w:ascii="Arial" w:eastAsia="Times New Roman" w:hAnsi="Arial" w:cs="Arial"/>
                <w:spacing w:val="-2"/>
                <w:lang w:eastAsia="en-AU"/>
              </w:rPr>
              <w:t xml:space="preserve">  Desirable</w:t>
            </w:r>
          </w:p>
        </w:tc>
        <w:tc>
          <w:tcPr>
            <w:tcW w:w="1841" w:type="dxa"/>
          </w:tcPr>
          <w:p w14:paraId="4A3A25F5" w14:textId="77777777" w:rsidR="007010F5" w:rsidRPr="000257DE" w:rsidRDefault="007010F5" w:rsidP="00A64477">
            <w:pPr>
              <w:pStyle w:val="TableText"/>
              <w:numPr>
                <w:ilvl w:val="0"/>
                <w:numId w:val="2"/>
              </w:numPr>
            </w:pPr>
            <w:r>
              <w:rPr>
                <w:rFonts w:ascii="Arial" w:eastAsia="Times New Roman" w:hAnsi="Arial" w:cs="Arial"/>
                <w:lang w:eastAsia="en-AU"/>
              </w:rPr>
              <w:t>Mandatory</w:t>
            </w:r>
          </w:p>
        </w:tc>
      </w:tr>
      <w:tr w:rsidR="007010F5" w14:paraId="695E5F71" w14:textId="77777777" w:rsidTr="007010F5">
        <w:tc>
          <w:tcPr>
            <w:tcW w:w="5812" w:type="dxa"/>
          </w:tcPr>
          <w:p w14:paraId="2963B7AD" w14:textId="77777777" w:rsidR="007010F5" w:rsidRPr="000257DE" w:rsidRDefault="007010F5" w:rsidP="00A64477">
            <w:pPr>
              <w:pStyle w:val="TableText"/>
              <w:numPr>
                <w:ilvl w:val="0"/>
                <w:numId w:val="2"/>
              </w:numPr>
            </w:pPr>
            <w:r>
              <w:t xml:space="preserve">Regulatory approvals (town planning, RBS building compliance assessment, Fire Safety Engineer Brief, Victorian Pharmaceutical Board approvals etc are in place and conditions able to be satisfied within Total Estimated Investment (TEI) </w:t>
            </w:r>
          </w:p>
        </w:tc>
        <w:tc>
          <w:tcPr>
            <w:tcW w:w="1985" w:type="dxa"/>
          </w:tcPr>
          <w:p w14:paraId="718A2151" w14:textId="77777777" w:rsidR="007010F5" w:rsidRPr="000257DE" w:rsidRDefault="007010F5" w:rsidP="00A64477">
            <w:pPr>
              <w:pStyle w:val="TableText"/>
              <w:numPr>
                <w:ilvl w:val="0"/>
                <w:numId w:val="2"/>
              </w:numPr>
            </w:pPr>
            <w:r w:rsidRPr="00C241C4">
              <w:rPr>
                <w:rFonts w:ascii="Arial" w:eastAsia="Times New Roman" w:hAnsi="Arial" w:cs="Arial"/>
                <w:spacing w:val="-2"/>
                <w:lang w:eastAsia="en-AU"/>
              </w:rPr>
              <w:t xml:space="preserve">  Desirable</w:t>
            </w:r>
          </w:p>
        </w:tc>
        <w:tc>
          <w:tcPr>
            <w:tcW w:w="1841" w:type="dxa"/>
          </w:tcPr>
          <w:p w14:paraId="5B2D067A" w14:textId="77777777" w:rsidR="007010F5" w:rsidRPr="000257DE" w:rsidRDefault="007010F5" w:rsidP="00A64477">
            <w:pPr>
              <w:pStyle w:val="TableText"/>
              <w:numPr>
                <w:ilvl w:val="0"/>
                <w:numId w:val="2"/>
              </w:numPr>
            </w:pPr>
            <w:r w:rsidRPr="6942725A">
              <w:rPr>
                <w:rFonts w:ascii="Arial" w:eastAsia="Times New Roman" w:hAnsi="Arial" w:cs="Arial"/>
                <w:lang w:eastAsia="en-AU"/>
              </w:rPr>
              <w:t xml:space="preserve">  Mandatory</w:t>
            </w:r>
          </w:p>
        </w:tc>
      </w:tr>
      <w:tr w:rsidR="007010F5" w14:paraId="525FDE72" w14:textId="77777777" w:rsidTr="007010F5">
        <w:tc>
          <w:tcPr>
            <w:tcW w:w="5812" w:type="dxa"/>
          </w:tcPr>
          <w:p w14:paraId="64806C2F" w14:textId="77777777" w:rsidR="007010F5" w:rsidRPr="000257DE" w:rsidRDefault="007010F5" w:rsidP="00A64477">
            <w:pPr>
              <w:pStyle w:val="TableText"/>
              <w:numPr>
                <w:ilvl w:val="0"/>
                <w:numId w:val="2"/>
              </w:numPr>
            </w:pPr>
            <w:r w:rsidRPr="001E16B8">
              <w:t>Other information may include photographs, evidence of non-compliance, audit or non-compliance reports, Process Improvement Notices etc</w:t>
            </w:r>
          </w:p>
        </w:tc>
        <w:tc>
          <w:tcPr>
            <w:tcW w:w="1985" w:type="dxa"/>
          </w:tcPr>
          <w:p w14:paraId="2DC323C3" w14:textId="77777777" w:rsidR="007010F5" w:rsidRPr="000257DE" w:rsidRDefault="007010F5" w:rsidP="00A64477">
            <w:pPr>
              <w:pStyle w:val="TableText"/>
              <w:numPr>
                <w:ilvl w:val="0"/>
                <w:numId w:val="2"/>
              </w:numPr>
            </w:pPr>
            <w:r>
              <w:rPr>
                <w:rFonts w:ascii="Arial" w:eastAsia="Times New Roman" w:hAnsi="Arial" w:cs="Arial"/>
                <w:spacing w:val="-2"/>
                <w:lang w:eastAsia="en-AU"/>
              </w:rPr>
              <w:t xml:space="preserve">  Desirable</w:t>
            </w:r>
          </w:p>
        </w:tc>
        <w:tc>
          <w:tcPr>
            <w:tcW w:w="1841" w:type="dxa"/>
          </w:tcPr>
          <w:p w14:paraId="323FBDC4" w14:textId="77777777" w:rsidR="007010F5" w:rsidRPr="000257DE" w:rsidRDefault="007010F5" w:rsidP="00A64477">
            <w:pPr>
              <w:pStyle w:val="TableText"/>
              <w:numPr>
                <w:ilvl w:val="0"/>
                <w:numId w:val="2"/>
              </w:numPr>
            </w:pPr>
            <w:r w:rsidRPr="6942725A">
              <w:rPr>
                <w:rFonts w:ascii="Arial" w:eastAsia="Times New Roman" w:hAnsi="Arial" w:cs="Arial"/>
                <w:lang w:eastAsia="en-AU"/>
              </w:rPr>
              <w:t xml:space="preserve">  Desirable</w:t>
            </w:r>
          </w:p>
        </w:tc>
      </w:tr>
      <w:tr w:rsidR="007010F5" w14:paraId="0545E4F8" w14:textId="77777777" w:rsidTr="007010F5">
        <w:tc>
          <w:tcPr>
            <w:tcW w:w="5812" w:type="dxa"/>
          </w:tcPr>
          <w:p w14:paraId="42E597E0" w14:textId="77777777" w:rsidR="007010F5" w:rsidRPr="000257DE" w:rsidRDefault="007010F5" w:rsidP="00A64477">
            <w:pPr>
              <w:pStyle w:val="TableText"/>
              <w:numPr>
                <w:ilvl w:val="0"/>
                <w:numId w:val="2"/>
              </w:numPr>
            </w:pPr>
            <w:r>
              <w:t>Trade or vendor</w:t>
            </w:r>
            <w:r w:rsidRPr="001E16B8">
              <w:t xml:space="preserve"> quot</w:t>
            </w:r>
            <w:r>
              <w:t>es</w:t>
            </w:r>
            <w:r w:rsidRPr="001E16B8">
              <w:t xml:space="preserve"> </w:t>
            </w:r>
            <w:r>
              <w:t>received for projects less than $0.5 million.</w:t>
            </w:r>
          </w:p>
        </w:tc>
        <w:tc>
          <w:tcPr>
            <w:tcW w:w="1985" w:type="dxa"/>
          </w:tcPr>
          <w:p w14:paraId="7D004BC1" w14:textId="77777777" w:rsidR="007010F5" w:rsidRPr="000257DE" w:rsidRDefault="007010F5" w:rsidP="00A64477">
            <w:pPr>
              <w:pStyle w:val="TableText"/>
              <w:numPr>
                <w:ilvl w:val="0"/>
                <w:numId w:val="2"/>
              </w:numPr>
            </w:pPr>
            <w:r>
              <w:t xml:space="preserve">  Mandatory</w:t>
            </w:r>
          </w:p>
        </w:tc>
        <w:tc>
          <w:tcPr>
            <w:tcW w:w="1841" w:type="dxa"/>
          </w:tcPr>
          <w:p w14:paraId="0F673416" w14:textId="77777777" w:rsidR="007010F5" w:rsidRPr="000257DE" w:rsidRDefault="007010F5" w:rsidP="00A64477">
            <w:pPr>
              <w:pStyle w:val="TableText"/>
              <w:numPr>
                <w:ilvl w:val="0"/>
                <w:numId w:val="2"/>
              </w:numPr>
            </w:pPr>
            <w:r>
              <w:t xml:space="preserve">  Not Applicable</w:t>
            </w:r>
          </w:p>
        </w:tc>
      </w:tr>
    </w:tbl>
    <w:p w14:paraId="656DC1AD" w14:textId="77777777" w:rsidR="007010F5" w:rsidRDefault="007010F5" w:rsidP="00A73694">
      <w:pPr>
        <w:pStyle w:val="BodyText"/>
        <w:rPr>
          <w:rStyle w:val="Templateinstructions"/>
        </w:rPr>
      </w:pPr>
      <w:r w:rsidRPr="71BBB938">
        <w:t>New Stream 1 projects submitted by health services which are deemed not ready for implementation may be excluded from consideration at the Department / VHBA’s discretion</w:t>
      </w:r>
      <w:r>
        <w:rPr>
          <w:rStyle w:val="Templateinstructions"/>
        </w:rPr>
        <w:t xml:space="preserve"> </w:t>
      </w:r>
    </w:p>
    <w:p w14:paraId="3EAC03E8" w14:textId="77777777" w:rsidR="00E26B2B" w:rsidRPr="00622924" w:rsidRDefault="00E26B2B" w:rsidP="00E26B2B">
      <w:pPr>
        <w:pStyle w:val="Heading2"/>
        <w:numPr>
          <w:ilvl w:val="0"/>
          <w:numId w:val="0"/>
        </w:numPr>
        <w:rPr>
          <w:rFonts w:eastAsia="Times New Roman"/>
        </w:rPr>
      </w:pPr>
      <w:bookmarkStart w:id="11" w:name="_Toc132984495"/>
      <w:bookmarkStart w:id="12" w:name="_Toc217317805"/>
      <w:bookmarkStart w:id="13" w:name="_Toc217405471"/>
      <w:r w:rsidRPr="3F871A60">
        <w:rPr>
          <w:rFonts w:eastAsia="Times New Roman"/>
        </w:rPr>
        <w:t>2022-23</w:t>
      </w:r>
      <w:r>
        <w:rPr>
          <w:rFonts w:eastAsia="Times New Roman"/>
        </w:rPr>
        <w:t>, 2023-24</w:t>
      </w:r>
      <w:r w:rsidRPr="3F871A60">
        <w:rPr>
          <w:rFonts w:eastAsia="Times New Roman"/>
        </w:rPr>
        <w:t xml:space="preserve"> </w:t>
      </w:r>
      <w:r>
        <w:rPr>
          <w:rFonts w:eastAsia="Times New Roman"/>
        </w:rPr>
        <w:t xml:space="preserve">and 2024-25 </w:t>
      </w:r>
      <w:r w:rsidRPr="3F871A60">
        <w:rPr>
          <w:rFonts w:eastAsia="Times New Roman"/>
        </w:rPr>
        <w:t>Stream 2 Projects in progress</w:t>
      </w:r>
      <w:bookmarkEnd w:id="11"/>
      <w:bookmarkEnd w:id="12"/>
      <w:bookmarkEnd w:id="13"/>
    </w:p>
    <w:p w14:paraId="681EB0FF" w14:textId="77777777" w:rsidR="00E26B2B" w:rsidRDefault="00E26B2B" w:rsidP="00E26B2B">
      <w:r w:rsidRPr="71BBB938">
        <w:t xml:space="preserve">Current Stream 2 projects that are ready to convert to Stream 1 will be required to apply for Stream 1 funding as part of the </w:t>
      </w:r>
      <w:r>
        <w:t>2025-26</w:t>
      </w:r>
      <w:r w:rsidRPr="71BBB938">
        <w:t xml:space="preserve"> round.  These projects will be evaluated through the standard process described in these guidelines. </w:t>
      </w:r>
    </w:p>
    <w:p w14:paraId="7C791F0B" w14:textId="77777777" w:rsidR="00E26B2B" w:rsidRDefault="00E26B2B" w:rsidP="00E26B2B">
      <w:r w:rsidRPr="71BBB938">
        <w:lastRenderedPageBreak/>
        <w:t>Current Stream 2 projects that are not ready to convert to Stream 1 will be required to provide an update on the project status including submission of all current documentation per the requirements as outlined in these guidelines. These projects will be assessed to confirm continuation.</w:t>
      </w:r>
    </w:p>
    <w:p w14:paraId="4DA8E53A" w14:textId="77777777" w:rsidR="00E26B2B" w:rsidRDefault="00E26B2B" w:rsidP="00E26B2B">
      <w:r>
        <w:t xml:space="preserve">The VHBA Sustaining and Enhancing Capital Team will work closely with all Stream 2 projects allocated in 2024-25 to assist with submitting for Stream 1 consideration in 2025-26 to ensure any time constraints do not disadvantage their applications. </w:t>
      </w:r>
    </w:p>
    <w:p w14:paraId="636EC234" w14:textId="77777777" w:rsidR="00E26B2B" w:rsidRDefault="00E26B2B" w:rsidP="00E26B2B">
      <w:pPr>
        <w:pStyle w:val="VHBAbodyafterbullets"/>
      </w:pPr>
      <w:r w:rsidRPr="00E26B2B">
        <w:rPr>
          <w:rFonts w:eastAsiaTheme="minorHAnsi" w:cstheme="minorBidi"/>
          <w:szCs w:val="22"/>
        </w:rPr>
        <w:t>Current complete, in progress and incomplete Stream 2 projects are not automatically guaranteed to receive funding in the 2025-26 round or potential subsequent rounds</w:t>
      </w:r>
      <w:r w:rsidRPr="71BBB938">
        <w:t xml:space="preserve">. </w:t>
      </w:r>
    </w:p>
    <w:p w14:paraId="2B1D2074" w14:textId="77777777" w:rsidR="00E26B2B" w:rsidRPr="00E26B2B" w:rsidRDefault="00E26B2B" w:rsidP="00E26B2B">
      <w:pPr>
        <w:pStyle w:val="Heading8"/>
        <w:numPr>
          <w:ilvl w:val="0"/>
          <w:numId w:val="0"/>
        </w:numPr>
        <w:rPr>
          <w:rFonts w:eastAsia="Times New Roman"/>
          <w:bCs w:val="0"/>
          <w:iCs w:val="0"/>
          <w:szCs w:val="32"/>
        </w:rPr>
      </w:pPr>
      <w:bookmarkStart w:id="14" w:name="_Toc217317806"/>
      <w:bookmarkStart w:id="15" w:name="_Toc217405472"/>
      <w:r w:rsidRPr="00E26B2B">
        <w:rPr>
          <w:rFonts w:eastAsia="Times New Roman"/>
          <w:bCs w:val="0"/>
          <w:iCs w:val="0"/>
          <w:szCs w:val="32"/>
        </w:rPr>
        <w:t>NEW Stream 2 Projects – funding for ongoing Planning or Design development</w:t>
      </w:r>
      <w:bookmarkEnd w:id="14"/>
      <w:bookmarkEnd w:id="15"/>
      <w:r w:rsidRPr="00E26B2B">
        <w:rPr>
          <w:rFonts w:eastAsia="Times New Roman"/>
          <w:bCs w:val="0"/>
          <w:iCs w:val="0"/>
          <w:szCs w:val="32"/>
        </w:rPr>
        <w:t xml:space="preserve"> </w:t>
      </w:r>
    </w:p>
    <w:p w14:paraId="1772DAA2" w14:textId="77777777" w:rsidR="00E26B2B" w:rsidRDefault="00E26B2B" w:rsidP="00E26B2B">
      <w:pPr>
        <w:spacing w:line="240" w:lineRule="auto"/>
        <w:textAlignment w:val="baseline"/>
        <w:rPr>
          <w:rFonts w:eastAsia="Times New Roman"/>
          <w:lang w:eastAsia="en-AU"/>
        </w:rPr>
      </w:pPr>
      <w:r>
        <w:rPr>
          <w:rFonts w:eastAsia="Times New Roman"/>
          <w:lang w:eastAsia="en-AU"/>
        </w:rPr>
        <w:t xml:space="preserve">As 2025-26 is the last year of available funding </w:t>
      </w:r>
      <w:r w:rsidRPr="00986791">
        <w:rPr>
          <w:rFonts w:eastAsia="Times New Roman"/>
          <w:b/>
          <w:i/>
          <w:sz w:val="22"/>
          <w:szCs w:val="24"/>
          <w:lang w:eastAsia="en-AU"/>
        </w:rPr>
        <w:t xml:space="preserve">No new Stream 2 applications will be accepted </w:t>
      </w:r>
      <w:r>
        <w:rPr>
          <w:rFonts w:eastAsia="Times New Roman"/>
          <w:lang w:eastAsia="en-AU"/>
        </w:rPr>
        <w:t>this round.</w:t>
      </w:r>
    </w:p>
    <w:p w14:paraId="2C3A402F" w14:textId="77777777" w:rsidR="00E26B2B" w:rsidRPr="00E26B2B" w:rsidRDefault="00E26B2B" w:rsidP="00E26B2B">
      <w:pPr>
        <w:pStyle w:val="Heading8"/>
        <w:numPr>
          <w:ilvl w:val="0"/>
          <w:numId w:val="0"/>
        </w:numPr>
        <w:rPr>
          <w:rFonts w:eastAsia="Times New Roman"/>
        </w:rPr>
      </w:pPr>
      <w:bookmarkStart w:id="16" w:name="_Toc217317807"/>
      <w:bookmarkStart w:id="17" w:name="_Toc217405473"/>
      <w:r w:rsidRPr="00E26B2B">
        <w:rPr>
          <w:rFonts w:eastAsia="Times New Roman"/>
        </w:rPr>
        <w:t>Aboriginal Community Controlled Health Organisations (ACCHO) Stream – Less than $400,000</w:t>
      </w:r>
      <w:bookmarkEnd w:id="16"/>
      <w:bookmarkEnd w:id="17"/>
    </w:p>
    <w:p w14:paraId="51BD21EA" w14:textId="77777777" w:rsidR="00E26B2B" w:rsidRPr="00255BEE" w:rsidRDefault="00E26B2B" w:rsidP="00E26B2B">
      <w:bookmarkStart w:id="18" w:name="_Toc217317808"/>
      <w:r w:rsidRPr="00255BEE">
        <w:t>The Department is focused on ensuring that funding is extended to as many ACCHOs as possible.</w:t>
      </w:r>
      <w:r w:rsidRPr="00255BEE">
        <w:rPr>
          <w:rFonts w:ascii="Arial" w:hAnsi="Arial" w:cs="Arial"/>
        </w:rPr>
        <w:t> </w:t>
      </w:r>
      <w:r w:rsidRPr="00255BEE">
        <w:t xml:space="preserve"> For this reason, the Department has created a separate ACCHO only stream for projects under $400,000. This stream is to assist ACCHO to respond to smaller immediate high risk and need projects.</w:t>
      </w:r>
      <w:bookmarkEnd w:id="18"/>
    </w:p>
    <w:p w14:paraId="5FCAFBDA" w14:textId="77777777" w:rsidR="00E26B2B" w:rsidRPr="00255BEE" w:rsidRDefault="00E26B2B" w:rsidP="00E26B2B">
      <w:bookmarkStart w:id="19" w:name="_Toc217317809"/>
      <w:r w:rsidRPr="00255BEE">
        <w:t>Submission for this stream must not exceed $400,000 and be ready to implement within 12 months.</w:t>
      </w:r>
      <w:bookmarkEnd w:id="19"/>
      <w:r w:rsidRPr="00255BEE">
        <w:t xml:space="preserve"> </w:t>
      </w:r>
    </w:p>
    <w:p w14:paraId="092CBEFA" w14:textId="77777777" w:rsidR="00E26B2B" w:rsidRPr="00255BEE" w:rsidRDefault="00E26B2B" w:rsidP="00E26B2B">
      <w:pPr>
        <w:spacing w:after="0"/>
        <w:rPr>
          <w:b/>
        </w:rPr>
      </w:pPr>
      <w:bookmarkStart w:id="20" w:name="_Toc217317810"/>
      <w:r w:rsidRPr="00255BEE">
        <w:rPr>
          <w:b/>
        </w:rPr>
        <w:t>Ineligible and excluded items</w:t>
      </w:r>
      <w:bookmarkEnd w:id="20"/>
      <w:r w:rsidRPr="00255BEE">
        <w:rPr>
          <w:b/>
        </w:rPr>
        <w:t xml:space="preserve"> </w:t>
      </w:r>
    </w:p>
    <w:p w14:paraId="14A73C10" w14:textId="77777777" w:rsidR="00E26B2B" w:rsidRPr="00255BEE" w:rsidRDefault="00E26B2B" w:rsidP="00A64477">
      <w:pPr>
        <w:pStyle w:val="ListParagraph"/>
        <w:numPr>
          <w:ilvl w:val="0"/>
          <w:numId w:val="16"/>
        </w:numPr>
      </w:pPr>
      <w:bookmarkStart w:id="21" w:name="_Toc217317811"/>
      <w:r w:rsidRPr="00255BEE">
        <w:t>Planning projects (including Master Planning)</w:t>
      </w:r>
      <w:bookmarkEnd w:id="21"/>
    </w:p>
    <w:p w14:paraId="6EB7F0F9" w14:textId="77777777" w:rsidR="00E26B2B" w:rsidRPr="00255BEE" w:rsidRDefault="00E26B2B" w:rsidP="00A64477">
      <w:pPr>
        <w:pStyle w:val="ListParagraph"/>
        <w:numPr>
          <w:ilvl w:val="0"/>
          <w:numId w:val="16"/>
        </w:numPr>
      </w:pPr>
      <w:bookmarkStart w:id="22" w:name="_Toc217317812"/>
      <w:r w:rsidRPr="00255BEE">
        <w:t>Major capital works in excess of $400,000 such as the construction of a new facility</w:t>
      </w:r>
      <w:bookmarkEnd w:id="22"/>
      <w:r w:rsidRPr="00255BEE">
        <w:t xml:space="preserve"> </w:t>
      </w:r>
    </w:p>
    <w:p w14:paraId="21A48562" w14:textId="77777777" w:rsidR="00E26B2B" w:rsidRPr="00255BEE" w:rsidRDefault="00E26B2B" w:rsidP="00A64477">
      <w:pPr>
        <w:pStyle w:val="ListParagraph"/>
        <w:numPr>
          <w:ilvl w:val="0"/>
          <w:numId w:val="16"/>
        </w:numPr>
      </w:pPr>
      <w:bookmarkStart w:id="23" w:name="_Toc217317813"/>
      <w:r w:rsidRPr="00255BEE">
        <w:t>Costs incurred prior to ministerial approval of the project funding (the letter of offer)</w:t>
      </w:r>
      <w:bookmarkEnd w:id="23"/>
    </w:p>
    <w:p w14:paraId="3F9DBD12" w14:textId="77777777" w:rsidR="00E26B2B" w:rsidRPr="00255BEE" w:rsidRDefault="00E26B2B" w:rsidP="00E26B2B">
      <w:bookmarkStart w:id="24" w:name="_Toc217317814"/>
      <w:r w:rsidRPr="00255BEE">
        <w:t>This stream will have a simplified submission process and if successful, VHBA will work with each ACCHO to further define the scope, cost and schedule.</w:t>
      </w:r>
      <w:bookmarkEnd w:id="24"/>
    </w:p>
    <w:p w14:paraId="216B256C" w14:textId="77777777" w:rsidR="00E26B2B" w:rsidRPr="00255BEE" w:rsidRDefault="00E26B2B" w:rsidP="00E26B2B">
      <w:bookmarkStart w:id="25" w:name="_Toc217317815"/>
      <w:r w:rsidRPr="00255BEE">
        <w:t>ACCHOs remain eligible to apply in RHIF Stream 1 for projects in excess of $400,000 and are able to apply in both streams to a maximum of 2 applications across all streams.</w:t>
      </w:r>
      <w:bookmarkEnd w:id="25"/>
      <w:r w:rsidRPr="00255BEE">
        <w:t xml:space="preserve"> </w:t>
      </w:r>
    </w:p>
    <w:p w14:paraId="26875775" w14:textId="77777777" w:rsidR="00E26B2B" w:rsidRDefault="00E26B2B" w:rsidP="00E26B2B">
      <w:bookmarkStart w:id="26" w:name="_Toc217317816"/>
      <w:r w:rsidRPr="00255BEE">
        <w:t>Funding will only be available during the RHIF 2025-26 Round 10 funding submission process.</w:t>
      </w:r>
      <w:bookmarkEnd w:id="26"/>
      <w:r w:rsidRPr="00255BEE">
        <w:t xml:space="preserve"> </w:t>
      </w:r>
    </w:p>
    <w:p w14:paraId="725461EF" w14:textId="25E66E6A" w:rsidR="00390789" w:rsidRPr="00DD7235" w:rsidRDefault="00390789" w:rsidP="00390789">
      <w:pPr>
        <w:pStyle w:val="BodyText"/>
        <w:rPr>
          <w:rStyle w:val="Templateinstructions"/>
          <w:color w:val="auto"/>
        </w:rPr>
      </w:pPr>
      <w:r w:rsidRPr="00DD7235">
        <w:rPr>
          <w:rStyle w:val="Templateinstructions"/>
          <w:color w:val="auto"/>
        </w:rPr>
        <w:t xml:space="preserve">The link to the Regional Health Infrastructure Fund (RHIF) </w:t>
      </w:r>
      <w:r>
        <w:rPr>
          <w:rStyle w:val="Templateinstructions"/>
          <w:color w:val="auto"/>
        </w:rPr>
        <w:t xml:space="preserve">ACCHO </w:t>
      </w:r>
      <w:r w:rsidR="00CD6885">
        <w:rPr>
          <w:rStyle w:val="Templateinstructions"/>
          <w:color w:val="auto"/>
        </w:rPr>
        <w:t xml:space="preserve">less than $400k </w:t>
      </w:r>
      <w:r w:rsidRPr="00DD7235">
        <w:rPr>
          <w:rStyle w:val="Templateinstructions"/>
          <w:color w:val="auto"/>
        </w:rPr>
        <w:t xml:space="preserve">submission can be found on the department’s SmartyGrants page </w:t>
      </w:r>
      <w:r w:rsidRPr="001425E2">
        <w:rPr>
          <w:rStyle w:val="Templateinstructions"/>
          <w:color w:val="auto"/>
        </w:rPr>
        <w:t xml:space="preserve">&lt; </w:t>
      </w:r>
      <w:hyperlink r:id="rId21" w:tgtFrame="_blank" w:tooltip="https://dhhs.smartygrants.com.au/rhif2025-26acchos" w:history="1">
        <w:r w:rsidR="00CD6885">
          <w:rPr>
            <w:rStyle w:val="Hyperlink"/>
          </w:rPr>
          <w:t>https://dhhs.smartygrants.com.au/rhif2025-26acchos</w:t>
        </w:r>
      </w:hyperlink>
      <w:r w:rsidRPr="001425E2">
        <w:rPr>
          <w:rStyle w:val="Templateinstructions"/>
          <w:color w:val="auto"/>
        </w:rPr>
        <w:t>&gt;.</w:t>
      </w:r>
      <w:r w:rsidRPr="00DD7235">
        <w:rPr>
          <w:rStyle w:val="Templateinstructions"/>
          <w:color w:val="auto"/>
        </w:rPr>
        <w:t xml:space="preserve"> </w:t>
      </w:r>
    </w:p>
    <w:p w14:paraId="5B1ACB9C" w14:textId="77777777" w:rsidR="00390789" w:rsidRPr="00390789" w:rsidRDefault="00390789" w:rsidP="00390789">
      <w:pPr>
        <w:pStyle w:val="BodyText"/>
      </w:pPr>
    </w:p>
    <w:p w14:paraId="3132F853" w14:textId="77777777" w:rsidR="00E26B2B" w:rsidRPr="008D1755" w:rsidRDefault="00E26B2B" w:rsidP="00E26B2B">
      <w:pPr>
        <w:pStyle w:val="Heading1"/>
        <w:numPr>
          <w:ilvl w:val="0"/>
          <w:numId w:val="0"/>
        </w:numPr>
        <w:ind w:left="1021" w:hanging="1021"/>
        <w:rPr>
          <w:rFonts w:eastAsia="Times New Roman"/>
        </w:rPr>
      </w:pPr>
      <w:bookmarkStart w:id="27" w:name="_Toc104970625"/>
      <w:bookmarkStart w:id="28" w:name="_Toc105427745"/>
      <w:bookmarkStart w:id="29" w:name="_Toc217317817"/>
      <w:bookmarkStart w:id="30" w:name="_Toc217405474"/>
      <w:r w:rsidRPr="3F871A60">
        <w:rPr>
          <w:rFonts w:eastAsia="Times New Roman"/>
        </w:rPr>
        <w:t>General eligibility criteria</w:t>
      </w:r>
      <w:bookmarkEnd w:id="27"/>
      <w:bookmarkEnd w:id="28"/>
      <w:bookmarkEnd w:id="29"/>
      <w:bookmarkEnd w:id="30"/>
    </w:p>
    <w:p w14:paraId="0B6D534F" w14:textId="77777777" w:rsidR="00E26B2B" w:rsidRPr="00E26B2B" w:rsidRDefault="00E26B2B" w:rsidP="00E26B2B">
      <w:pPr>
        <w:pStyle w:val="VHBAbody"/>
        <w:rPr>
          <w:rFonts w:eastAsiaTheme="minorHAnsi" w:cstheme="minorBidi"/>
          <w:szCs w:val="22"/>
        </w:rPr>
      </w:pPr>
      <w:r w:rsidRPr="00E26B2B">
        <w:rPr>
          <w:rFonts w:eastAsiaTheme="minorHAnsi" w:cstheme="minorBidi"/>
          <w:szCs w:val="22"/>
        </w:rPr>
        <w:t>Funding is available to Victorian regional and sub-regional health services, local and small rural health services, multipurpose services, public residential aged care services, registered community health services, bush nursing hospitals and centres, women’s health services, Aboriginal Community Controlled Health Organisations, and publicly funded community specialist palliative care services.</w:t>
      </w:r>
    </w:p>
    <w:p w14:paraId="7C21B84A" w14:textId="77777777" w:rsidR="00E26B2B" w:rsidRPr="008D1755" w:rsidRDefault="00E26B2B" w:rsidP="00E26B2B">
      <w:r w:rsidRPr="00E26B2B">
        <w:t xml:space="preserve">A list of eligible Health Services is attached in Appendix </w:t>
      </w:r>
      <w:r w:rsidR="00986791">
        <w:t>A</w:t>
      </w:r>
      <w:r w:rsidRPr="00E26B2B">
        <w:t>.</w:t>
      </w:r>
      <w:r w:rsidRPr="008D1755">
        <w:t xml:space="preserve"> </w:t>
      </w:r>
    </w:p>
    <w:p w14:paraId="34A7F0BC" w14:textId="77777777" w:rsidR="00E26B2B" w:rsidRPr="008D1755" w:rsidRDefault="00E26B2B" w:rsidP="00E26B2B">
      <w:r w:rsidRPr="71BBB938">
        <w:lastRenderedPageBreak/>
        <w:t xml:space="preserve">Applicants may be </w:t>
      </w:r>
      <w:r w:rsidRPr="71BBB938">
        <w:rPr>
          <w:b/>
          <w:bCs/>
        </w:rPr>
        <w:t>ineligible</w:t>
      </w:r>
      <w:r w:rsidRPr="71BBB938">
        <w:t xml:space="preserve"> for consideration in this funding round where they have received funding under previous RHIF rounds and either:</w:t>
      </w:r>
    </w:p>
    <w:p w14:paraId="29CB2DE5" w14:textId="77777777" w:rsidR="00E26B2B" w:rsidRPr="008D1755" w:rsidRDefault="00E26B2B" w:rsidP="00E26B2B">
      <w:pPr>
        <w:pStyle w:val="VHBAbullet1"/>
        <w:ind w:left="397" w:hanging="397"/>
      </w:pPr>
      <w:r w:rsidRPr="71BBB938">
        <w:t>failed to substantially commence their project within two years of receipt of funds</w:t>
      </w:r>
    </w:p>
    <w:p w14:paraId="72AC7C9C" w14:textId="77777777" w:rsidR="00E26B2B" w:rsidRPr="008D1755" w:rsidRDefault="00E26B2B" w:rsidP="00E26B2B">
      <w:pPr>
        <w:pStyle w:val="VHBAbullet1"/>
        <w:ind w:left="397" w:hanging="397"/>
      </w:pPr>
      <w:r w:rsidRPr="71BBB938">
        <w:t>failed to fully comply with conditions of funding (for example, submission of progress reports, acquittals, unapproved change of scope)</w:t>
      </w:r>
      <w:bookmarkStart w:id="31" w:name="_Toc59707882"/>
    </w:p>
    <w:p w14:paraId="5E356561" w14:textId="77777777" w:rsidR="00E26B2B" w:rsidRPr="008D1755" w:rsidRDefault="00E26B2B" w:rsidP="00E26B2B">
      <w:pPr>
        <w:pStyle w:val="VHBAbullet1"/>
        <w:ind w:left="397" w:hanging="397"/>
      </w:pPr>
      <w:r w:rsidRPr="71BBB938">
        <w:t>failed to complete their projects within approved timeframes, without reasonable and adequate justification accepted by VHBA in its absolute discretion.</w:t>
      </w:r>
    </w:p>
    <w:p w14:paraId="417F2C0E" w14:textId="77777777" w:rsidR="00E26B2B" w:rsidRPr="008D1755" w:rsidRDefault="00E26B2B" w:rsidP="00E26B2B">
      <w:pPr>
        <w:pStyle w:val="Heading8"/>
        <w:numPr>
          <w:ilvl w:val="0"/>
          <w:numId w:val="0"/>
        </w:numPr>
        <w:ind w:left="1418" w:hanging="1418"/>
      </w:pPr>
      <w:bookmarkStart w:id="32" w:name="_Toc103767392"/>
      <w:bookmarkStart w:id="33" w:name="_Toc103767435"/>
      <w:bookmarkStart w:id="34" w:name="_Toc104970626"/>
      <w:bookmarkStart w:id="35" w:name="_Toc105427746"/>
      <w:bookmarkStart w:id="36" w:name="_Toc217317818"/>
      <w:bookmarkStart w:id="37" w:name="_Toc217405475"/>
      <w:r>
        <w:t>For eligible agencies</w:t>
      </w:r>
      <w:bookmarkEnd w:id="31"/>
      <w:bookmarkEnd w:id="32"/>
      <w:bookmarkEnd w:id="33"/>
      <w:bookmarkEnd w:id="34"/>
      <w:bookmarkEnd w:id="35"/>
      <w:bookmarkEnd w:id="36"/>
      <w:bookmarkEnd w:id="37"/>
    </w:p>
    <w:p w14:paraId="46C9EB8E" w14:textId="77777777" w:rsidR="00E26B2B" w:rsidRPr="00906B94" w:rsidRDefault="00E26B2B" w:rsidP="00E26B2B">
      <w:pPr>
        <w:pStyle w:val="VHBAbody"/>
      </w:pPr>
      <w:r w:rsidRPr="71BBB938">
        <w:t xml:space="preserve">Submissions will be limited to a </w:t>
      </w:r>
      <w:r w:rsidRPr="00ED1FA4">
        <w:rPr>
          <w:b/>
        </w:rPr>
        <w:t>maximum of two (2)</w:t>
      </w:r>
      <w:r w:rsidRPr="71BBB938">
        <w:t xml:space="preserve"> projects per Health Service for RHIF </w:t>
      </w:r>
      <w:r>
        <w:t>2025-26</w:t>
      </w:r>
      <w:r w:rsidRPr="71BBB938">
        <w:t>. All applications must meet the criteria and provide the mandatory documentation required as outlined in this document. If more than one submission is made, the agency must indicate the priority order (Priority 1</w:t>
      </w:r>
      <w:r>
        <w:t xml:space="preserve"> or</w:t>
      </w:r>
      <w:r w:rsidRPr="71BBB938">
        <w:t xml:space="preserve"> Priority 2) of each submission.</w:t>
      </w:r>
    </w:p>
    <w:p w14:paraId="4B5E7197" w14:textId="77777777" w:rsidR="00E26B2B" w:rsidRPr="003B544D" w:rsidRDefault="00E26B2B" w:rsidP="00E26B2B">
      <w:r w:rsidRPr="00906B94">
        <w:t xml:space="preserve">Funds </w:t>
      </w:r>
      <w:r w:rsidRPr="003B544D">
        <w:t xml:space="preserve">are available for projects which include: </w:t>
      </w:r>
    </w:p>
    <w:p w14:paraId="013880E1" w14:textId="77777777" w:rsidR="00E26B2B" w:rsidRPr="003B544D" w:rsidRDefault="00E26B2B" w:rsidP="00E26B2B">
      <w:pPr>
        <w:pStyle w:val="VHBAbullet1"/>
        <w:ind w:left="397" w:hanging="397"/>
      </w:pPr>
      <w:r w:rsidRPr="003B544D">
        <w:t>Compliance related capital and /or upgrade works (e.g., AS4187</w:t>
      </w:r>
      <w:r>
        <w:t>/5369</w:t>
      </w:r>
      <w:r w:rsidRPr="003B544D">
        <w:t xml:space="preserve"> including pandemic improvement / readiness, Fire, and life safety works)</w:t>
      </w:r>
    </w:p>
    <w:p w14:paraId="6FB4F51A" w14:textId="77777777" w:rsidR="00E26B2B" w:rsidRPr="003B544D" w:rsidRDefault="00E26B2B" w:rsidP="00E26B2B">
      <w:pPr>
        <w:pStyle w:val="VHBAbullet1"/>
        <w:ind w:left="397" w:hanging="397"/>
      </w:pPr>
      <w:r w:rsidRPr="003B544D">
        <w:t>Non construction: equipment (medical equipment, engineering infrastructure and plant)</w:t>
      </w:r>
    </w:p>
    <w:p w14:paraId="0C2BDD96" w14:textId="77777777" w:rsidR="00E26B2B" w:rsidRPr="003B544D" w:rsidRDefault="00E26B2B" w:rsidP="00E26B2B">
      <w:pPr>
        <w:pStyle w:val="VHBAbullet1"/>
        <w:ind w:left="397" w:hanging="397"/>
      </w:pPr>
      <w:r>
        <w:t xml:space="preserve">Construction: </w:t>
      </w:r>
      <w:r w:rsidRPr="00D50A6D">
        <w:t xml:space="preserve">minor infrastructure including replacement, reconfiguration, remodelling, and refurbishment projects </w:t>
      </w:r>
      <w:r w:rsidRPr="00D50A6D">
        <w:rPr>
          <w:rFonts w:ascii="Arial" w:hAnsi="Arial"/>
        </w:rPr>
        <w:t xml:space="preserve">(including minor extensions) </w:t>
      </w:r>
      <w:r w:rsidRPr="00D50A6D">
        <w:t>to address aged building fabric, compliance, and demand issues</w:t>
      </w:r>
    </w:p>
    <w:p w14:paraId="09E07B2B" w14:textId="77777777" w:rsidR="00E26B2B" w:rsidRPr="003B544D" w:rsidRDefault="00E26B2B" w:rsidP="00E26B2B">
      <w:pPr>
        <w:pStyle w:val="VHBAbullet1"/>
        <w:ind w:left="397" w:hanging="397"/>
      </w:pPr>
      <w:r w:rsidRPr="003B544D">
        <w:t>Information and communications technology (ICT)</w:t>
      </w:r>
    </w:p>
    <w:p w14:paraId="03E1D287" w14:textId="77777777" w:rsidR="00E26B2B" w:rsidRPr="003B544D" w:rsidRDefault="00E26B2B" w:rsidP="00E26B2B">
      <w:pPr>
        <w:pStyle w:val="VHBAbullet1"/>
        <w:ind w:left="397" w:hanging="397"/>
      </w:pPr>
      <w:r w:rsidRPr="003B544D">
        <w:t>New technologies including systems to reduce usage and increase efficiencies of power and / or water and</w:t>
      </w:r>
    </w:p>
    <w:p w14:paraId="09563779" w14:textId="77777777" w:rsidR="00E26B2B" w:rsidRPr="00906B94" w:rsidRDefault="00E26B2B" w:rsidP="00E26B2B">
      <w:pPr>
        <w:pStyle w:val="VHBAbullet1"/>
        <w:ind w:left="397" w:hanging="397"/>
      </w:pPr>
      <w:r w:rsidRPr="003B544D">
        <w:t>Motor vehicles</w:t>
      </w:r>
      <w:r w:rsidRPr="00906B94">
        <w:t xml:space="preserve"> – eligibility restricted to bush nursing centres only.</w:t>
      </w:r>
    </w:p>
    <w:p w14:paraId="4B9AD9CC" w14:textId="77777777" w:rsidR="00E26B2B" w:rsidRPr="008D1755" w:rsidRDefault="00E26B2B" w:rsidP="00E26B2B">
      <w:pPr>
        <w:pStyle w:val="VHBAbodyafterbullets"/>
      </w:pPr>
      <w:r w:rsidRPr="71BBB938">
        <w:t xml:space="preserve">A series of support resources are identified in Appendix </w:t>
      </w:r>
      <w:r w:rsidR="00986791">
        <w:t>B</w:t>
      </w:r>
      <w:r w:rsidRPr="71BBB938">
        <w:t xml:space="preserve">. </w:t>
      </w:r>
    </w:p>
    <w:p w14:paraId="0EA253D5" w14:textId="77777777" w:rsidR="00E26B2B" w:rsidRPr="00986791" w:rsidRDefault="00E26B2B" w:rsidP="00E26B2B">
      <w:pPr>
        <w:spacing w:after="0" w:line="240" w:lineRule="auto"/>
      </w:pPr>
      <w:r w:rsidRPr="00986791">
        <w:t>The following are examples of items which may be included in funding submissions:</w:t>
      </w:r>
    </w:p>
    <w:p w14:paraId="0476DB5D" w14:textId="77777777" w:rsidR="00E26B2B" w:rsidRPr="008D1755" w:rsidRDefault="00E26B2B" w:rsidP="00E26B2B">
      <w:pPr>
        <w:pStyle w:val="Heading9"/>
        <w:numPr>
          <w:ilvl w:val="0"/>
          <w:numId w:val="0"/>
        </w:numPr>
        <w:ind w:left="1418" w:hanging="1418"/>
      </w:pPr>
      <w:bookmarkStart w:id="38" w:name="_Toc183023711"/>
      <w:bookmarkStart w:id="39" w:name="_Toc217405476"/>
      <w:r w:rsidRPr="008D1755">
        <w:t>Construction works</w:t>
      </w:r>
      <w:bookmarkEnd w:id="38"/>
      <w:bookmarkEnd w:id="39"/>
    </w:p>
    <w:p w14:paraId="5ECA2F1D" w14:textId="77777777" w:rsidR="00E26B2B" w:rsidRPr="00986791" w:rsidRDefault="00E26B2B" w:rsidP="00A64477">
      <w:pPr>
        <w:numPr>
          <w:ilvl w:val="0"/>
          <w:numId w:val="21"/>
        </w:numPr>
        <w:spacing w:before="120" w:after="40" w:line="270" w:lineRule="atLeast"/>
      </w:pPr>
      <w:r w:rsidRPr="00986791">
        <w:t>Minor construction works only</w:t>
      </w:r>
    </w:p>
    <w:p w14:paraId="0D7E4B72" w14:textId="77777777" w:rsidR="00E26B2B" w:rsidRPr="00986791" w:rsidRDefault="00E26B2B" w:rsidP="00A64477">
      <w:pPr>
        <w:numPr>
          <w:ilvl w:val="0"/>
          <w:numId w:val="21"/>
        </w:numPr>
        <w:spacing w:before="120" w:after="40" w:line="270" w:lineRule="atLeast"/>
      </w:pPr>
      <w:r w:rsidRPr="00986791">
        <w:t>Remodelling and refurbishment projects (including minor extensions) to address aged building fabric, compliance, demand issues meeting universal design.</w:t>
      </w:r>
    </w:p>
    <w:p w14:paraId="41211B12" w14:textId="77777777" w:rsidR="00E26B2B" w:rsidRPr="00986791" w:rsidRDefault="00E26B2B" w:rsidP="00A64477">
      <w:pPr>
        <w:numPr>
          <w:ilvl w:val="0"/>
          <w:numId w:val="21"/>
        </w:numPr>
        <w:spacing w:before="120" w:after="40" w:line="270" w:lineRule="atLeast"/>
      </w:pPr>
      <w:r w:rsidRPr="00986791">
        <w:t>Modifications to enable buildings to be fit for purpose, for example, moving from low care to high care residential aged services.</w:t>
      </w:r>
    </w:p>
    <w:p w14:paraId="2E186665" w14:textId="77777777" w:rsidR="00E26B2B" w:rsidRPr="00986791" w:rsidRDefault="00E26B2B" w:rsidP="00A64477">
      <w:pPr>
        <w:numPr>
          <w:ilvl w:val="0"/>
          <w:numId w:val="21"/>
        </w:numPr>
        <w:spacing w:before="120" w:after="40" w:line="270" w:lineRule="atLeast"/>
      </w:pPr>
      <w:r w:rsidRPr="00986791">
        <w:t>Refurbishment/repairs/reconfiguration/replacement or expansion of ageing buildings and equipment to reflect infrastructure risk mitigation strategies:</w:t>
      </w:r>
    </w:p>
    <w:p w14:paraId="791CF6E5" w14:textId="77777777" w:rsidR="00E26B2B" w:rsidRPr="00986791" w:rsidRDefault="00E26B2B" w:rsidP="00E26B2B">
      <w:pPr>
        <w:pStyle w:val="VHBAbullet2"/>
        <w:ind w:left="794" w:hanging="397"/>
      </w:pPr>
      <w:r w:rsidRPr="00986791">
        <w:t>security systems (access controls, CCTV, duress alarms, nurse call systems)</w:t>
      </w:r>
    </w:p>
    <w:p w14:paraId="6738B6F6" w14:textId="77777777" w:rsidR="00E26B2B" w:rsidRPr="00986791" w:rsidRDefault="00E26B2B" w:rsidP="00E26B2B">
      <w:pPr>
        <w:pStyle w:val="VHBAbullet2"/>
        <w:ind w:left="794" w:hanging="397"/>
      </w:pPr>
      <w:r w:rsidRPr="00986791">
        <w:t>laundry and customer kitchen upgrades or equipment</w:t>
      </w:r>
    </w:p>
    <w:p w14:paraId="05CFDA4E" w14:textId="77777777" w:rsidR="00E26B2B" w:rsidRPr="00986791" w:rsidRDefault="00E26B2B" w:rsidP="00E26B2B">
      <w:pPr>
        <w:pStyle w:val="VHBAbullet2"/>
        <w:ind w:left="794" w:hanging="397"/>
      </w:pPr>
      <w:r w:rsidRPr="00986791">
        <w:t>improved capacity or replacement of dilapidated assets located underground and reticulation services</w:t>
      </w:r>
    </w:p>
    <w:p w14:paraId="11F69B22" w14:textId="77777777" w:rsidR="00E26B2B" w:rsidRPr="00986791" w:rsidRDefault="00E26B2B" w:rsidP="00E26B2B">
      <w:pPr>
        <w:pStyle w:val="VHBAbullet2"/>
        <w:ind w:left="794" w:hanging="397"/>
      </w:pPr>
      <w:r w:rsidRPr="00986791">
        <w:t>waiting room, reception, staff amenities configurations, material selections (infection prevention)</w:t>
      </w:r>
    </w:p>
    <w:p w14:paraId="3CAA350D" w14:textId="77777777" w:rsidR="00E26B2B" w:rsidRPr="00986791" w:rsidRDefault="00E26B2B" w:rsidP="00E26B2B">
      <w:pPr>
        <w:pStyle w:val="VHBAbullet2"/>
        <w:ind w:left="794" w:hanging="397"/>
      </w:pPr>
      <w:r w:rsidRPr="00986791">
        <w:t>accessible paths and ramps, Changing Places toilets</w:t>
      </w:r>
    </w:p>
    <w:p w14:paraId="68C21B6C" w14:textId="77777777" w:rsidR="00E26B2B" w:rsidRPr="00986791" w:rsidRDefault="00E26B2B" w:rsidP="00E26B2B">
      <w:pPr>
        <w:pStyle w:val="VHBAbullet2"/>
        <w:ind w:left="794" w:hanging="397"/>
      </w:pPr>
      <w:r w:rsidRPr="00986791">
        <w:t>expansion of services including consulting rooms, wards, pathology, operating theatres.</w:t>
      </w:r>
    </w:p>
    <w:p w14:paraId="79A2E70E" w14:textId="77777777" w:rsidR="00E26B2B" w:rsidRPr="00986791" w:rsidRDefault="00E26B2B" w:rsidP="00E26B2B">
      <w:pPr>
        <w:pStyle w:val="VHBAbullet1"/>
        <w:ind w:left="397" w:hanging="397"/>
      </w:pPr>
      <w:r w:rsidRPr="00986791">
        <w:t>fixtures, fittings and furniture related to construction or refurbishment works including:</w:t>
      </w:r>
    </w:p>
    <w:p w14:paraId="798708B5" w14:textId="77777777" w:rsidR="00E26B2B" w:rsidRPr="00986791" w:rsidRDefault="00E26B2B" w:rsidP="00E26B2B">
      <w:pPr>
        <w:pStyle w:val="VHBAbullet2"/>
        <w:ind w:left="794" w:hanging="397"/>
      </w:pPr>
      <w:r w:rsidRPr="00986791">
        <w:t>Furniture: Movable items for comfort or use, such as desks, chairs, tables, and cabinets.</w:t>
      </w:r>
    </w:p>
    <w:p w14:paraId="4C65F513" w14:textId="77777777" w:rsidR="00E26B2B" w:rsidRPr="00986791" w:rsidRDefault="00E26B2B" w:rsidP="00E26B2B">
      <w:pPr>
        <w:pStyle w:val="VHBAbullet2"/>
        <w:ind w:left="794" w:hanging="397"/>
      </w:pPr>
      <w:r w:rsidRPr="00986791">
        <w:t xml:space="preserve">Fittings: Items that are attached to the premises but are generally not structural and can be removed without significant damage such as light fixtures, blinds, </w:t>
      </w:r>
    </w:p>
    <w:p w14:paraId="7E77B456" w14:textId="77777777" w:rsidR="00E26B2B" w:rsidRPr="00986791" w:rsidRDefault="00E26B2B" w:rsidP="00E26B2B">
      <w:pPr>
        <w:pStyle w:val="VHBAbullet2"/>
        <w:ind w:left="794" w:hanging="397"/>
      </w:pPr>
      <w:r w:rsidRPr="00986791">
        <w:lastRenderedPageBreak/>
        <w:t>Equipment: Other portable or movable tools, machinery, appliances, or apparatus used in business operations such as computers, white goods, reasonably valued decorative items to be used for display in the business premises (such as reception, waiting room).</w:t>
      </w:r>
    </w:p>
    <w:p w14:paraId="514E50A9" w14:textId="77777777" w:rsidR="00E26B2B" w:rsidRDefault="00E26B2B" w:rsidP="00E26B2B">
      <w:pPr>
        <w:pStyle w:val="VHBAbullet1"/>
        <w:ind w:left="397" w:hanging="397"/>
      </w:pPr>
      <w:r w:rsidRPr="008D1755">
        <w:t>Address building defects such as leaking roofs, upgrade building services</w:t>
      </w:r>
    </w:p>
    <w:p w14:paraId="44794254" w14:textId="77777777" w:rsidR="00E26B2B" w:rsidRPr="008D1755" w:rsidRDefault="00E26B2B" w:rsidP="00E26B2B">
      <w:pPr>
        <w:pStyle w:val="VHBAbullet1"/>
        <w:ind w:left="397" w:hanging="397"/>
      </w:pPr>
      <w:r w:rsidRPr="71BBB938">
        <w:t>Infection control related works such as floor and window coverings.</w:t>
      </w:r>
    </w:p>
    <w:p w14:paraId="7AF26FAC" w14:textId="77777777" w:rsidR="00E26B2B" w:rsidRPr="008D1755" w:rsidRDefault="00E26B2B" w:rsidP="00E26B2B">
      <w:pPr>
        <w:pStyle w:val="VHBAbullet1"/>
        <w:ind w:left="397" w:hanging="397"/>
      </w:pPr>
      <w:r w:rsidRPr="005026DB">
        <w:t>Address increased demand through expansion and refurbishment of existing premises</w:t>
      </w:r>
      <w:r>
        <w:t xml:space="preserve"> such as new reception and intake areas to bring facilities up to the appropriate standards for disability access and ensure the safety and security of public areas.</w:t>
      </w:r>
    </w:p>
    <w:p w14:paraId="41B30D8C" w14:textId="77777777" w:rsidR="00E26B2B" w:rsidRPr="008D1755" w:rsidRDefault="00E26B2B" w:rsidP="00E26B2B">
      <w:pPr>
        <w:pStyle w:val="Heading9"/>
        <w:numPr>
          <w:ilvl w:val="0"/>
          <w:numId w:val="0"/>
        </w:numPr>
        <w:ind w:left="1418" w:hanging="1418"/>
      </w:pPr>
      <w:bookmarkStart w:id="40" w:name="_Toc183023712"/>
      <w:bookmarkStart w:id="41" w:name="_Toc217405477"/>
      <w:r w:rsidRPr="008D1755">
        <w:t>Fire safety</w:t>
      </w:r>
      <w:bookmarkEnd w:id="40"/>
      <w:bookmarkEnd w:id="41"/>
    </w:p>
    <w:p w14:paraId="0D1B9BA3" w14:textId="77777777" w:rsidR="00E26B2B" w:rsidRPr="00986791" w:rsidRDefault="00E26B2B" w:rsidP="00A64477">
      <w:pPr>
        <w:numPr>
          <w:ilvl w:val="0"/>
          <w:numId w:val="21"/>
        </w:numPr>
        <w:spacing w:before="120" w:after="40" w:line="270" w:lineRule="atLeast"/>
      </w:pPr>
      <w:r w:rsidRPr="00986791">
        <w:t>Fire safety compliance upgrades and the completion of outstanding fire safety works; items such as fire detection and suppression systems, fire storage tanks, fire pump sets, fire indication panels, requirement to have sprinkler heads over the doorways of each patient room etc.</w:t>
      </w:r>
    </w:p>
    <w:p w14:paraId="772E85A4" w14:textId="77777777" w:rsidR="00E26B2B" w:rsidRPr="008D1755" w:rsidRDefault="00E26B2B" w:rsidP="00E26B2B">
      <w:pPr>
        <w:pStyle w:val="Heading9"/>
        <w:numPr>
          <w:ilvl w:val="0"/>
          <w:numId w:val="0"/>
        </w:numPr>
        <w:ind w:left="1418" w:hanging="1418"/>
      </w:pPr>
      <w:bookmarkStart w:id="42" w:name="_Toc183023713"/>
      <w:bookmarkStart w:id="43" w:name="_Toc217405478"/>
      <w:r w:rsidRPr="008D1755">
        <w:t>Infection prevention and control</w:t>
      </w:r>
      <w:bookmarkEnd w:id="42"/>
      <w:bookmarkEnd w:id="43"/>
    </w:p>
    <w:p w14:paraId="4EC9E514" w14:textId="77777777" w:rsidR="00E26B2B" w:rsidRPr="00986791" w:rsidRDefault="00E26B2B" w:rsidP="00A64477">
      <w:pPr>
        <w:numPr>
          <w:ilvl w:val="0"/>
          <w:numId w:val="21"/>
        </w:numPr>
        <w:spacing w:before="120" w:after="40" w:line="270" w:lineRule="atLeast"/>
      </w:pPr>
      <w:r w:rsidRPr="00986791">
        <w:t xml:space="preserve">Compliance with </w:t>
      </w:r>
      <w:r w:rsidRPr="00986791">
        <w:rPr>
          <w:i/>
          <w:iCs/>
        </w:rPr>
        <w:t>AS4187/5369 Reprocessing of Reusable Medical Devices in Health Service Organisations</w:t>
      </w:r>
      <w:r w:rsidRPr="00986791">
        <w:t xml:space="preserve"> including cleaning, disinfecting, and sterilising reusable medical and surgical instruments and equipment, and maintenance of associated environments in health care facilities, upgrades to central sterile services department (CSSD).</w:t>
      </w:r>
    </w:p>
    <w:p w14:paraId="32661DE3" w14:textId="77777777" w:rsidR="00E26B2B" w:rsidRPr="00986791" w:rsidRDefault="00E26B2B" w:rsidP="00A64477">
      <w:pPr>
        <w:numPr>
          <w:ilvl w:val="0"/>
          <w:numId w:val="21"/>
        </w:numPr>
        <w:spacing w:before="120" w:after="40" w:line="270" w:lineRule="atLeast"/>
      </w:pPr>
      <w:r w:rsidRPr="00986791">
        <w:t>Improving infection prevention and control (IPC) flows and throughput (in context to recent Health COVID-19 IPC recommendations).</w:t>
      </w:r>
    </w:p>
    <w:p w14:paraId="12955D57" w14:textId="77777777" w:rsidR="00E26B2B" w:rsidRPr="008D1755" w:rsidRDefault="00E26B2B" w:rsidP="00E26B2B">
      <w:pPr>
        <w:pStyle w:val="Heading9"/>
        <w:numPr>
          <w:ilvl w:val="0"/>
          <w:numId w:val="0"/>
        </w:numPr>
        <w:ind w:left="1418" w:hanging="1418"/>
      </w:pPr>
      <w:bookmarkStart w:id="44" w:name="_Toc183023714"/>
      <w:bookmarkStart w:id="45" w:name="_Toc217405479"/>
      <w:r w:rsidRPr="008D1755">
        <w:t>Minor medical equipment</w:t>
      </w:r>
      <w:bookmarkEnd w:id="44"/>
      <w:bookmarkEnd w:id="45"/>
    </w:p>
    <w:p w14:paraId="072A9E36" w14:textId="77777777" w:rsidR="00E26B2B" w:rsidRPr="00986791" w:rsidRDefault="00E26B2B" w:rsidP="00A64477">
      <w:pPr>
        <w:numPr>
          <w:ilvl w:val="0"/>
          <w:numId w:val="21"/>
        </w:numPr>
        <w:spacing w:before="120" w:after="40" w:line="270" w:lineRule="atLeast"/>
      </w:pPr>
      <w:r w:rsidRPr="00986791">
        <w:t>Funding for minor medical equipment that is at end of life or new equipment needed to support contemporary models of care and improvement in patient outcomes including enabling capital works; items such as X-ray units, endoscopic/laparoscopic towers, and scopes and IV pumps (syringe drivers, volumetric pumps, patient care analgesia pumps), patient beds and trolleys.</w:t>
      </w:r>
    </w:p>
    <w:p w14:paraId="09043BA9" w14:textId="77777777" w:rsidR="00E26B2B" w:rsidRPr="00986791" w:rsidRDefault="00E26B2B" w:rsidP="00A64477">
      <w:pPr>
        <w:numPr>
          <w:ilvl w:val="0"/>
          <w:numId w:val="21"/>
        </w:numPr>
        <w:spacing w:before="120" w:after="40" w:line="270" w:lineRule="atLeast"/>
      </w:pPr>
      <w:r w:rsidRPr="00986791">
        <w:t>Statewide mobile services such as mobile stroke and renal treatment (lithotripsy) units that provide critical services outside an acute setting.</w:t>
      </w:r>
    </w:p>
    <w:p w14:paraId="02718529" w14:textId="77777777" w:rsidR="00E26B2B" w:rsidRPr="00986791" w:rsidRDefault="00E26B2B" w:rsidP="00A64477">
      <w:pPr>
        <w:numPr>
          <w:ilvl w:val="0"/>
          <w:numId w:val="21"/>
        </w:numPr>
        <w:spacing w:before="120" w:after="40" w:line="270" w:lineRule="atLeast"/>
      </w:pPr>
      <w:r w:rsidRPr="00986791">
        <w:t>Pathology equipment and medical fridges and freezers.</w:t>
      </w:r>
    </w:p>
    <w:p w14:paraId="580E234D" w14:textId="77777777" w:rsidR="00E26B2B" w:rsidRPr="00986791" w:rsidRDefault="00E26B2B" w:rsidP="00A64477">
      <w:pPr>
        <w:numPr>
          <w:ilvl w:val="0"/>
          <w:numId w:val="21"/>
        </w:numPr>
        <w:spacing w:before="120" w:after="40" w:line="270" w:lineRule="atLeast"/>
      </w:pPr>
      <w:r w:rsidRPr="00986791">
        <w:t>Specialised furniture and fittings in operating rooms, intensive care units and emergency departments such as pendants, operating room lights and operating room tables.</w:t>
      </w:r>
    </w:p>
    <w:p w14:paraId="316D1DAA" w14:textId="77777777" w:rsidR="00E26B2B" w:rsidRPr="008D1755" w:rsidRDefault="00E26B2B" w:rsidP="00A64477">
      <w:pPr>
        <w:numPr>
          <w:ilvl w:val="0"/>
          <w:numId w:val="21"/>
        </w:numPr>
        <w:spacing w:before="120" w:after="40" w:line="270" w:lineRule="atLeast"/>
        <w:rPr>
          <w:rFonts w:ascii="Arial" w:hAnsi="Arial"/>
        </w:rPr>
      </w:pPr>
      <w:r w:rsidRPr="00986791">
        <w:t>Equipment for dental health where services are provided by the health service, such as dental chairs, exam lights and OPG equipment</w:t>
      </w:r>
      <w:r w:rsidRPr="008D1755">
        <w:rPr>
          <w:rFonts w:ascii="Arial" w:hAnsi="Arial"/>
        </w:rPr>
        <w:t>.</w:t>
      </w:r>
    </w:p>
    <w:p w14:paraId="4217C153" w14:textId="77777777" w:rsidR="00E26B2B" w:rsidRPr="008D1755" w:rsidRDefault="00E26B2B" w:rsidP="00E26B2B">
      <w:pPr>
        <w:pStyle w:val="Heading9"/>
        <w:numPr>
          <w:ilvl w:val="0"/>
          <w:numId w:val="0"/>
        </w:numPr>
        <w:ind w:left="1418" w:hanging="1418"/>
      </w:pPr>
      <w:bookmarkStart w:id="46" w:name="_Toc183023715"/>
      <w:bookmarkStart w:id="47" w:name="_Toc217405480"/>
      <w:r w:rsidRPr="008D1755">
        <w:t>Healthcare worker safety</w:t>
      </w:r>
      <w:bookmarkEnd w:id="46"/>
      <w:bookmarkEnd w:id="47"/>
      <w:r w:rsidRPr="008D1755">
        <w:t xml:space="preserve"> </w:t>
      </w:r>
    </w:p>
    <w:p w14:paraId="24605A55" w14:textId="77777777" w:rsidR="00E26B2B" w:rsidRPr="008D1755" w:rsidRDefault="00E26B2B" w:rsidP="00E26B2B">
      <w:r w:rsidRPr="71BBB938">
        <w:t>Funding to prevent and control high priority hazards and risks in the workplace and remediate these risks with minor capital works such as egress doors, room configuration/equipment (CCTV, duress alarms), appropriate signage and wayfinding that enhance the security and welfare of people in workplaces.</w:t>
      </w:r>
    </w:p>
    <w:p w14:paraId="1F7625CE" w14:textId="77777777" w:rsidR="007247E1" w:rsidRPr="008D1755" w:rsidRDefault="007247E1" w:rsidP="007247E1">
      <w:pPr>
        <w:pStyle w:val="Heading1NoNumber"/>
        <w:rPr>
          <w:rFonts w:eastAsia="Times New Roman"/>
        </w:rPr>
      </w:pPr>
      <w:bookmarkStart w:id="48" w:name="_Toc103767393"/>
      <w:bookmarkStart w:id="49" w:name="_Toc103767436"/>
      <w:bookmarkStart w:id="50" w:name="_Toc104970627"/>
      <w:bookmarkStart w:id="51" w:name="_Toc105427747"/>
      <w:bookmarkStart w:id="52" w:name="_Toc217317819"/>
      <w:bookmarkStart w:id="53" w:name="_Toc217405481"/>
      <w:r w:rsidRPr="3F871A60">
        <w:rPr>
          <w:rFonts w:eastAsia="Times New Roman"/>
        </w:rPr>
        <w:t>Ineligible and excluded items</w:t>
      </w:r>
      <w:bookmarkEnd w:id="48"/>
      <w:bookmarkEnd w:id="49"/>
      <w:bookmarkEnd w:id="50"/>
      <w:bookmarkEnd w:id="51"/>
      <w:bookmarkEnd w:id="52"/>
      <w:bookmarkEnd w:id="53"/>
    </w:p>
    <w:p w14:paraId="129508C9" w14:textId="77777777" w:rsidR="007247E1" w:rsidRPr="007247E1" w:rsidRDefault="007247E1" w:rsidP="007247E1">
      <w:r w:rsidRPr="007247E1">
        <w:t>Projects, or elements of projects which are ineligible and may not be funded by VHBA include:</w:t>
      </w:r>
    </w:p>
    <w:p w14:paraId="7A7EBC4A" w14:textId="77777777" w:rsidR="007247E1" w:rsidRPr="007247E1" w:rsidRDefault="007247E1" w:rsidP="00A64477">
      <w:pPr>
        <w:pStyle w:val="ListParagraph"/>
        <w:numPr>
          <w:ilvl w:val="0"/>
          <w:numId w:val="22"/>
        </w:numPr>
        <w:spacing w:before="0"/>
      </w:pPr>
      <w:r w:rsidRPr="007247E1">
        <w:lastRenderedPageBreak/>
        <w:t xml:space="preserve">operational funding (including recurrent costs for items such as subscriptions, licencing, ongoing support etc.) </w:t>
      </w:r>
    </w:p>
    <w:p w14:paraId="6B0A68B4" w14:textId="77777777" w:rsidR="007247E1" w:rsidRPr="007247E1" w:rsidRDefault="007247E1" w:rsidP="00A64477">
      <w:pPr>
        <w:pStyle w:val="ListParagraph"/>
        <w:numPr>
          <w:ilvl w:val="0"/>
          <w:numId w:val="22"/>
        </w:numPr>
        <w:spacing w:before="0"/>
      </w:pPr>
      <w:r w:rsidRPr="007247E1">
        <w:t>projects that do not have current operating funding to undertake ongoing activities related to the asset</w:t>
      </w:r>
    </w:p>
    <w:p w14:paraId="095FAB1E" w14:textId="77777777" w:rsidR="007247E1" w:rsidRPr="007247E1" w:rsidRDefault="007247E1" w:rsidP="00A64477">
      <w:pPr>
        <w:pStyle w:val="ListParagraph"/>
        <w:numPr>
          <w:ilvl w:val="0"/>
          <w:numId w:val="22"/>
        </w:numPr>
        <w:spacing w:before="0"/>
      </w:pPr>
      <w:r w:rsidRPr="007247E1">
        <w:t>funding for direct costs of internal staff (such as project managers, ICT personnel, cleaners etc)</w:t>
      </w:r>
    </w:p>
    <w:p w14:paraId="36345CC4" w14:textId="77777777" w:rsidR="007247E1" w:rsidRPr="007247E1" w:rsidRDefault="007247E1" w:rsidP="00A64477">
      <w:pPr>
        <w:pStyle w:val="ListParagraph"/>
        <w:numPr>
          <w:ilvl w:val="0"/>
          <w:numId w:val="22"/>
        </w:numPr>
        <w:spacing w:before="0"/>
      </w:pPr>
      <w:r w:rsidRPr="007247E1">
        <w:t>health service internal administration costs in excess of 1.5% of Total Estimated Investment (TEI)</w:t>
      </w:r>
    </w:p>
    <w:p w14:paraId="11D78DE4" w14:textId="77777777" w:rsidR="007247E1" w:rsidRPr="007247E1" w:rsidRDefault="007247E1" w:rsidP="00A64477">
      <w:pPr>
        <w:pStyle w:val="ListParagraph"/>
        <w:numPr>
          <w:ilvl w:val="0"/>
          <w:numId w:val="22"/>
        </w:numPr>
        <w:spacing w:before="0"/>
      </w:pPr>
      <w:r w:rsidRPr="007247E1">
        <w:t>fixtures, fittings and furniture not associated with a refurbishment project or specialty medical equipment. Routine replacement of furniture and fittings that are worn is the responsibility of agencies to manage as part of their existing maintenance and replacement program</w:t>
      </w:r>
    </w:p>
    <w:p w14:paraId="156B30A2" w14:textId="77777777" w:rsidR="007247E1" w:rsidRPr="007247E1" w:rsidRDefault="007247E1" w:rsidP="00A64477">
      <w:pPr>
        <w:pStyle w:val="ListParagraph"/>
        <w:numPr>
          <w:ilvl w:val="0"/>
          <w:numId w:val="22"/>
        </w:numPr>
        <w:spacing w:before="0"/>
      </w:pPr>
      <w:r w:rsidRPr="007247E1">
        <w:t>general building maintenance such as cleaning, painting, general repairs</w:t>
      </w:r>
    </w:p>
    <w:p w14:paraId="4C35714C" w14:textId="77777777" w:rsidR="007247E1" w:rsidRPr="007247E1" w:rsidRDefault="007247E1" w:rsidP="00A64477">
      <w:pPr>
        <w:pStyle w:val="ListParagraph"/>
        <w:numPr>
          <w:ilvl w:val="0"/>
          <w:numId w:val="22"/>
        </w:numPr>
        <w:spacing w:before="0"/>
      </w:pPr>
      <w:r w:rsidRPr="007247E1">
        <w:t xml:space="preserve">Master Planning </w:t>
      </w:r>
    </w:p>
    <w:p w14:paraId="39483E29" w14:textId="77777777" w:rsidR="007247E1" w:rsidRPr="007247E1" w:rsidRDefault="007247E1" w:rsidP="00A64477">
      <w:pPr>
        <w:pStyle w:val="ListParagraph"/>
        <w:numPr>
          <w:ilvl w:val="0"/>
          <w:numId w:val="22"/>
        </w:numPr>
        <w:spacing w:before="0"/>
      </w:pPr>
      <w:r w:rsidRPr="007247E1">
        <w:t>Major capital works in excess of $10m such as the construction of a new facility</w:t>
      </w:r>
    </w:p>
    <w:p w14:paraId="238584A9" w14:textId="77777777" w:rsidR="007247E1" w:rsidRDefault="007247E1" w:rsidP="00A64477">
      <w:pPr>
        <w:pStyle w:val="ListParagraph"/>
        <w:numPr>
          <w:ilvl w:val="0"/>
          <w:numId w:val="22"/>
        </w:numPr>
        <w:spacing w:before="0"/>
      </w:pPr>
      <w:r w:rsidRPr="007247E1">
        <w:t>motor vehicles (eligibility restricted to bush nursing centres only).</w:t>
      </w:r>
    </w:p>
    <w:p w14:paraId="543F1219" w14:textId="77777777" w:rsidR="00ED1FA4" w:rsidRDefault="00ED1FA4" w:rsidP="00A64477">
      <w:pPr>
        <w:pStyle w:val="ListParagraph"/>
        <w:numPr>
          <w:ilvl w:val="0"/>
          <w:numId w:val="22"/>
        </w:numPr>
        <w:spacing w:before="0"/>
      </w:pPr>
      <w:r>
        <w:t>Bundled equipment that does not have a functional and cooperative relationship, for example b</w:t>
      </w:r>
      <w:r w:rsidRPr="00ED1FA4">
        <w:t>undling of speciality equipment across multiple health agency departments</w:t>
      </w:r>
      <w:r>
        <w:t xml:space="preserve">. </w:t>
      </w:r>
    </w:p>
    <w:p w14:paraId="12A62698" w14:textId="77777777" w:rsidR="00ED1FA4" w:rsidRPr="007247E1" w:rsidRDefault="00ED1FA4" w:rsidP="00ED1FA4">
      <w:pPr>
        <w:pStyle w:val="ListParagraph"/>
        <w:spacing w:before="0"/>
        <w:ind w:left="360"/>
      </w:pPr>
      <w:r w:rsidRPr="00ED1FA4">
        <w:t>Bundling of small-scale speciality equipment for a dedicated department service may be eligible</w:t>
      </w:r>
      <w:r>
        <w:t>, for example</w:t>
      </w:r>
      <w:r w:rsidRPr="00ED1FA4">
        <w:t xml:space="preserve"> a Theatre Suite, Central Sterile Service Department or Commercial Kitchens where the equipment works together to deliver a holistic outcome. </w:t>
      </w:r>
      <w:r>
        <w:t xml:space="preserve"> </w:t>
      </w:r>
    </w:p>
    <w:p w14:paraId="0B236313" w14:textId="77777777" w:rsidR="00860281" w:rsidRPr="00860281" w:rsidRDefault="00860281" w:rsidP="00860281">
      <w:pPr>
        <w:pStyle w:val="Heading1NoNumber"/>
        <w:rPr>
          <w:rFonts w:eastAsia="Times New Roman"/>
        </w:rPr>
      </w:pPr>
      <w:bookmarkStart w:id="54" w:name="_Toc217317820"/>
      <w:bookmarkStart w:id="55" w:name="_Toc217405482"/>
      <w:r w:rsidRPr="00860281">
        <w:rPr>
          <w:rFonts w:eastAsia="Times New Roman"/>
        </w:rPr>
        <w:t>Grant submission and evaluation process</w:t>
      </w:r>
      <w:bookmarkEnd w:id="54"/>
      <w:bookmarkEnd w:id="55"/>
      <w:r w:rsidRPr="00860281">
        <w:rPr>
          <w:rFonts w:eastAsia="Times New Roman"/>
        </w:rPr>
        <w:t xml:space="preserve"> </w:t>
      </w:r>
    </w:p>
    <w:p w14:paraId="679C78D0" w14:textId="77777777" w:rsidR="00860281" w:rsidRPr="008D1755" w:rsidRDefault="00860281" w:rsidP="00860281">
      <w:pPr>
        <w:pStyle w:val="VHBAbodyafterbullets"/>
      </w:pPr>
      <w:r w:rsidRPr="00DE5EDC">
        <w:t>The indicative timeframe for the RHIF 2025-26 Grant funding is as follows</w:t>
      </w:r>
      <w:r w:rsidRPr="71BBB938">
        <w:t>:</w:t>
      </w:r>
    </w:p>
    <w:p w14:paraId="78D3A424" w14:textId="77777777" w:rsidR="00860281" w:rsidRPr="00860281" w:rsidRDefault="00860281" w:rsidP="00860281">
      <w:pPr>
        <w:pStyle w:val="TableNumbering1"/>
      </w:pPr>
      <w:bookmarkStart w:id="56" w:name="_Toc217317821"/>
      <w:r w:rsidRPr="00860281">
        <w:t>Table 2: Submission and evaluation timeline</w:t>
      </w:r>
      <w:bookmarkEnd w:id="56"/>
    </w:p>
    <w:tbl>
      <w:tblPr>
        <w:tblStyle w:val="MainTableStyle"/>
        <w:tblW w:w="0" w:type="auto"/>
        <w:tblLayout w:type="fixed"/>
        <w:tblLook w:val="0620" w:firstRow="1" w:lastRow="0" w:firstColumn="0" w:lastColumn="0" w:noHBand="1" w:noVBand="1"/>
      </w:tblPr>
      <w:tblGrid>
        <w:gridCol w:w="6370"/>
        <w:gridCol w:w="2017"/>
      </w:tblGrid>
      <w:tr w:rsidR="00860281" w14:paraId="3E00F8DC" w14:textId="77777777" w:rsidTr="00860281">
        <w:trPr>
          <w:cnfStyle w:val="100000000000" w:firstRow="1" w:lastRow="0" w:firstColumn="0" w:lastColumn="0" w:oddVBand="0" w:evenVBand="0" w:oddHBand="0" w:evenHBand="0" w:firstRowFirstColumn="0" w:firstRowLastColumn="0" w:lastRowFirstColumn="0" w:lastRowLastColumn="0"/>
          <w:trHeight w:val="559"/>
        </w:trPr>
        <w:tc>
          <w:tcPr>
            <w:tcW w:w="6370" w:type="dxa"/>
          </w:tcPr>
          <w:p w14:paraId="6A4CFE73" w14:textId="77777777" w:rsidR="00860281" w:rsidRPr="000C5A97" w:rsidRDefault="00860281" w:rsidP="00A64477">
            <w:pPr>
              <w:pStyle w:val="TableText"/>
              <w:numPr>
                <w:ilvl w:val="0"/>
                <w:numId w:val="2"/>
              </w:numPr>
              <w:rPr>
                <w:b/>
                <w:bCs/>
                <w:color w:val="FFFFFF" w:themeColor="background1"/>
              </w:rPr>
            </w:pPr>
            <w:r>
              <w:rPr>
                <w:b/>
                <w:bCs/>
                <w:color w:val="FFFFFF" w:themeColor="background1"/>
              </w:rPr>
              <w:t>Milestone</w:t>
            </w:r>
          </w:p>
        </w:tc>
        <w:tc>
          <w:tcPr>
            <w:tcW w:w="2017" w:type="dxa"/>
          </w:tcPr>
          <w:p w14:paraId="26CA67E8" w14:textId="77777777" w:rsidR="00860281" w:rsidRPr="000C5A97" w:rsidRDefault="00860281" w:rsidP="00A64477">
            <w:pPr>
              <w:pStyle w:val="TableText"/>
              <w:numPr>
                <w:ilvl w:val="0"/>
                <w:numId w:val="2"/>
              </w:numPr>
              <w:rPr>
                <w:b/>
                <w:bCs/>
                <w:color w:val="FFFFFF" w:themeColor="background1"/>
              </w:rPr>
            </w:pPr>
            <w:r>
              <w:rPr>
                <w:b/>
                <w:bCs/>
                <w:color w:val="FFFFFF" w:themeColor="background1"/>
              </w:rPr>
              <w:t>Estimated Tage date</w:t>
            </w:r>
          </w:p>
        </w:tc>
      </w:tr>
      <w:tr w:rsidR="00860281" w14:paraId="082FA536" w14:textId="77777777" w:rsidTr="00860281">
        <w:trPr>
          <w:trHeight w:val="264"/>
        </w:trPr>
        <w:tc>
          <w:tcPr>
            <w:tcW w:w="6370" w:type="dxa"/>
          </w:tcPr>
          <w:p w14:paraId="4657F7FF" w14:textId="77777777" w:rsidR="00860281" w:rsidRPr="00860281" w:rsidRDefault="00860281" w:rsidP="00A64477">
            <w:pPr>
              <w:pStyle w:val="TableText"/>
              <w:numPr>
                <w:ilvl w:val="0"/>
                <w:numId w:val="2"/>
              </w:numPr>
              <w:rPr>
                <w:b/>
              </w:rPr>
            </w:pPr>
            <w:r w:rsidRPr="00860281">
              <w:rPr>
                <w:b/>
              </w:rPr>
              <w:t>Round Opens</w:t>
            </w:r>
          </w:p>
        </w:tc>
        <w:tc>
          <w:tcPr>
            <w:tcW w:w="2017" w:type="dxa"/>
          </w:tcPr>
          <w:p w14:paraId="37D1D6F1" w14:textId="7FA071DC" w:rsidR="00860281" w:rsidRPr="001425E2" w:rsidRDefault="00CD6885" w:rsidP="00A64477">
            <w:pPr>
              <w:pStyle w:val="TableText"/>
              <w:numPr>
                <w:ilvl w:val="0"/>
                <w:numId w:val="2"/>
              </w:numPr>
              <w:rPr>
                <w:b/>
              </w:rPr>
            </w:pPr>
            <w:r>
              <w:rPr>
                <w:b/>
              </w:rPr>
              <w:t xml:space="preserve">17 </w:t>
            </w:r>
            <w:r w:rsidR="002A122F" w:rsidRPr="001425E2">
              <w:rPr>
                <w:b/>
              </w:rPr>
              <w:t xml:space="preserve">April </w:t>
            </w:r>
            <w:r w:rsidR="00860281" w:rsidRPr="001425E2">
              <w:rPr>
                <w:b/>
              </w:rPr>
              <w:t>2026</w:t>
            </w:r>
          </w:p>
        </w:tc>
      </w:tr>
      <w:tr w:rsidR="00860281" w14:paraId="2DDA3AC2" w14:textId="77777777" w:rsidTr="00860281">
        <w:trPr>
          <w:trHeight w:val="339"/>
        </w:trPr>
        <w:tc>
          <w:tcPr>
            <w:tcW w:w="6370" w:type="dxa"/>
          </w:tcPr>
          <w:p w14:paraId="26E1AAF0" w14:textId="77777777" w:rsidR="00860281" w:rsidRPr="00860281" w:rsidRDefault="00860281" w:rsidP="00A64477">
            <w:pPr>
              <w:pStyle w:val="TableText"/>
              <w:numPr>
                <w:ilvl w:val="0"/>
                <w:numId w:val="2"/>
              </w:numPr>
              <w:rPr>
                <w:b/>
              </w:rPr>
            </w:pPr>
            <w:r w:rsidRPr="00860281">
              <w:rPr>
                <w:b/>
              </w:rPr>
              <w:t>Briefing to health services (online)</w:t>
            </w:r>
          </w:p>
        </w:tc>
        <w:tc>
          <w:tcPr>
            <w:tcW w:w="2017" w:type="dxa"/>
          </w:tcPr>
          <w:p w14:paraId="3A677402" w14:textId="7CB522F9" w:rsidR="00860281" w:rsidRPr="001425E2" w:rsidRDefault="00E32661" w:rsidP="00A64477">
            <w:pPr>
              <w:pStyle w:val="TableText"/>
              <w:numPr>
                <w:ilvl w:val="0"/>
                <w:numId w:val="2"/>
              </w:numPr>
              <w:rPr>
                <w:b/>
              </w:rPr>
            </w:pPr>
            <w:r>
              <w:rPr>
                <w:rFonts w:eastAsia="Times New Roman" w:cs="Arial"/>
                <w:b/>
                <w:lang w:eastAsia="en-AU"/>
              </w:rPr>
              <w:t xml:space="preserve">23 </w:t>
            </w:r>
            <w:r w:rsidR="002A122F" w:rsidRPr="001425E2">
              <w:rPr>
                <w:rFonts w:eastAsia="Times New Roman" w:cs="Arial"/>
                <w:b/>
                <w:lang w:eastAsia="en-AU"/>
              </w:rPr>
              <w:t>April</w:t>
            </w:r>
            <w:r w:rsidR="00860281" w:rsidRPr="001425E2">
              <w:rPr>
                <w:rFonts w:eastAsia="Times New Roman" w:cs="Arial"/>
                <w:b/>
                <w:lang w:eastAsia="en-AU"/>
              </w:rPr>
              <w:t xml:space="preserve"> 2026 </w:t>
            </w:r>
          </w:p>
        </w:tc>
      </w:tr>
      <w:tr w:rsidR="00860281" w:rsidRPr="00DE5EDC" w14:paraId="4F4EDDA6" w14:textId="77777777" w:rsidTr="00DE5EDC">
        <w:trPr>
          <w:trHeight w:val="274"/>
        </w:trPr>
        <w:tc>
          <w:tcPr>
            <w:tcW w:w="6370" w:type="dxa"/>
          </w:tcPr>
          <w:p w14:paraId="280CE9A3" w14:textId="77777777" w:rsidR="00860281" w:rsidRPr="00DE5EDC" w:rsidRDefault="00860281" w:rsidP="00A64477">
            <w:pPr>
              <w:pStyle w:val="TableText"/>
              <w:numPr>
                <w:ilvl w:val="0"/>
                <w:numId w:val="2"/>
              </w:numPr>
              <w:rPr>
                <w:b/>
              </w:rPr>
            </w:pPr>
            <w:r w:rsidRPr="00DE5EDC">
              <w:rPr>
                <w:b/>
              </w:rPr>
              <w:t>Deadline to upload submissions</w:t>
            </w:r>
          </w:p>
        </w:tc>
        <w:tc>
          <w:tcPr>
            <w:tcW w:w="2017" w:type="dxa"/>
          </w:tcPr>
          <w:p w14:paraId="126BDECB" w14:textId="0E1ABC1A" w:rsidR="00860281" w:rsidRPr="001425E2" w:rsidRDefault="002857A9" w:rsidP="00A64477">
            <w:pPr>
              <w:pStyle w:val="TableText"/>
              <w:numPr>
                <w:ilvl w:val="0"/>
                <w:numId w:val="2"/>
              </w:numPr>
              <w:rPr>
                <w:b/>
              </w:rPr>
            </w:pPr>
            <w:r>
              <w:rPr>
                <w:b/>
              </w:rPr>
              <w:t xml:space="preserve">15 </w:t>
            </w:r>
            <w:r w:rsidR="002A122F" w:rsidRPr="001425E2">
              <w:rPr>
                <w:b/>
              </w:rPr>
              <w:t>June</w:t>
            </w:r>
            <w:r w:rsidR="00DE5EDC" w:rsidRPr="001425E2">
              <w:rPr>
                <w:b/>
              </w:rPr>
              <w:t xml:space="preserve"> 2026</w:t>
            </w:r>
          </w:p>
        </w:tc>
      </w:tr>
      <w:tr w:rsidR="00860281" w:rsidRPr="00DE5EDC" w14:paraId="59F4BFD0" w14:textId="77777777" w:rsidTr="00860281">
        <w:trPr>
          <w:trHeight w:val="340"/>
        </w:trPr>
        <w:tc>
          <w:tcPr>
            <w:tcW w:w="6370" w:type="dxa"/>
          </w:tcPr>
          <w:p w14:paraId="1F9A0339" w14:textId="77777777" w:rsidR="00860281" w:rsidRPr="00DE5EDC" w:rsidRDefault="00DE5EDC" w:rsidP="00A64477">
            <w:pPr>
              <w:pStyle w:val="TableText"/>
              <w:numPr>
                <w:ilvl w:val="0"/>
                <w:numId w:val="2"/>
              </w:numPr>
              <w:rPr>
                <w:b/>
              </w:rPr>
            </w:pPr>
            <w:r>
              <w:rPr>
                <w:b/>
              </w:rPr>
              <w:t xml:space="preserve">Announcement of successful funding </w:t>
            </w:r>
            <w:r w:rsidRPr="00DE5EDC">
              <w:t>(following Ministerial approval)</w:t>
            </w:r>
          </w:p>
        </w:tc>
        <w:tc>
          <w:tcPr>
            <w:tcW w:w="2017" w:type="dxa"/>
          </w:tcPr>
          <w:p w14:paraId="727A53FB" w14:textId="77777777" w:rsidR="00860281" w:rsidRPr="001425E2" w:rsidRDefault="002A122F" w:rsidP="00A64477">
            <w:pPr>
              <w:pStyle w:val="TableText"/>
              <w:numPr>
                <w:ilvl w:val="0"/>
                <w:numId w:val="2"/>
              </w:numPr>
              <w:rPr>
                <w:b/>
              </w:rPr>
            </w:pPr>
            <w:r w:rsidRPr="001425E2">
              <w:rPr>
                <w:b/>
              </w:rPr>
              <w:t xml:space="preserve">September </w:t>
            </w:r>
            <w:r w:rsidR="00DE5EDC" w:rsidRPr="001425E2">
              <w:rPr>
                <w:b/>
              </w:rPr>
              <w:t>2026</w:t>
            </w:r>
          </w:p>
        </w:tc>
      </w:tr>
    </w:tbl>
    <w:p w14:paraId="1D6F83AE" w14:textId="77777777" w:rsidR="00DE5EDC" w:rsidRPr="00EB4056" w:rsidRDefault="00DE5EDC" w:rsidP="00DE5EDC">
      <w:pPr>
        <w:pStyle w:val="Heading8"/>
        <w:numPr>
          <w:ilvl w:val="0"/>
          <w:numId w:val="0"/>
        </w:numPr>
        <w:ind w:left="1418" w:hanging="1418"/>
      </w:pPr>
      <w:bookmarkStart w:id="57" w:name="_Toc57386771"/>
      <w:bookmarkStart w:id="58" w:name="_Toc103767395"/>
      <w:bookmarkStart w:id="59" w:name="_Toc103767438"/>
      <w:bookmarkStart w:id="60" w:name="_Toc104970629"/>
      <w:bookmarkStart w:id="61" w:name="_Toc105427749"/>
      <w:bookmarkStart w:id="62" w:name="_Toc217317822"/>
      <w:bookmarkStart w:id="63" w:name="_Toc217405483"/>
      <w:r w:rsidRPr="00EB4056">
        <w:rPr>
          <w:rStyle w:val="Heading2Char"/>
          <w:b/>
        </w:rPr>
        <w:t>Submission requirements</w:t>
      </w:r>
      <w:bookmarkEnd w:id="57"/>
      <w:bookmarkEnd w:id="58"/>
      <w:bookmarkEnd w:id="59"/>
      <w:bookmarkEnd w:id="60"/>
      <w:bookmarkEnd w:id="61"/>
      <w:bookmarkEnd w:id="62"/>
      <w:bookmarkEnd w:id="63"/>
    </w:p>
    <w:p w14:paraId="5A1B5A04" w14:textId="77777777" w:rsidR="00DE5EDC" w:rsidRDefault="00DE5EDC" w:rsidP="00DE5EDC">
      <w:r w:rsidRPr="008D1755">
        <w:t xml:space="preserve">The Victorian Health Building Authority (VHBA) is using a web-based online </w:t>
      </w:r>
      <w:r>
        <w:t>submission</w:t>
      </w:r>
      <w:r w:rsidRPr="008D1755">
        <w:t xml:space="preserve"> process. </w:t>
      </w:r>
    </w:p>
    <w:p w14:paraId="665920F2" w14:textId="77777777" w:rsidR="00DE5EDC" w:rsidRPr="00755AB7" w:rsidRDefault="00DE5EDC" w:rsidP="00DE5EDC">
      <w:pPr>
        <w:pStyle w:val="VHBAbody"/>
      </w:pPr>
      <w:r w:rsidRPr="71BBB938">
        <w:t xml:space="preserve">Submissions will be limited to a maximum of </w:t>
      </w:r>
      <w:r>
        <w:t>two</w:t>
      </w:r>
      <w:r w:rsidRPr="71BBB938">
        <w:t xml:space="preserve"> (</w:t>
      </w:r>
      <w:r>
        <w:t>2</w:t>
      </w:r>
      <w:r w:rsidRPr="71BBB938">
        <w:t>) new projects per health service</w:t>
      </w:r>
      <w:r>
        <w:t xml:space="preserve">. Health Services that have </w:t>
      </w:r>
      <w:r w:rsidRPr="71BBB938">
        <w:t xml:space="preserve">amalgamated </w:t>
      </w:r>
      <w:r>
        <w:t>in the past 5 years</w:t>
      </w:r>
      <w:r w:rsidRPr="71BBB938">
        <w:t xml:space="preserve"> may seek dispensation to lodge additional submissions by requesting permission in writing by emailing </w:t>
      </w:r>
      <w:r w:rsidRPr="00A62665">
        <w:t>rhif-applications.vhba@vida.vic.gov.au</w:t>
      </w:r>
      <w:r w:rsidRPr="71BBB938">
        <w:t xml:space="preserve"> address</w:t>
      </w:r>
      <w:r>
        <w:t>.</w:t>
      </w:r>
    </w:p>
    <w:p w14:paraId="0451C76C" w14:textId="77777777" w:rsidR="00DE5EDC" w:rsidRDefault="00DE5EDC" w:rsidP="00DE5EDC">
      <w:pPr>
        <w:rPr>
          <w:rFonts w:eastAsia="Times New Roman"/>
        </w:rPr>
      </w:pPr>
      <w:r>
        <w:t xml:space="preserve">Current Stream 2 projects that Health Service intend to convert to a Stream 1 project must be resubmitted </w:t>
      </w:r>
      <w:r>
        <w:rPr>
          <w:rFonts w:eastAsia="Times New Roman"/>
        </w:rPr>
        <w:t xml:space="preserve">as a Stream 1 project. </w:t>
      </w:r>
    </w:p>
    <w:p w14:paraId="505C361A" w14:textId="77777777" w:rsidR="00DE5EDC" w:rsidRDefault="00DE5EDC" w:rsidP="00DE5EDC">
      <w:pPr>
        <w:rPr>
          <w:rFonts w:eastAsia="Times New Roman"/>
        </w:rPr>
      </w:pPr>
      <w:r w:rsidRPr="71BBB938">
        <w:t xml:space="preserve">Current Stream 2 projects that are not ready to convert to Stream 1 will be required to provide an update on the project status including submission of all current documentation per the requirements as outlined in these guidelines. </w:t>
      </w:r>
      <w:r w:rsidRPr="71BBB938">
        <w:rPr>
          <w:rFonts w:eastAsia="Times New Roman"/>
        </w:rPr>
        <w:t xml:space="preserve"> </w:t>
      </w:r>
    </w:p>
    <w:p w14:paraId="7C94624D" w14:textId="77777777" w:rsidR="00DE5EDC" w:rsidRDefault="00DE5EDC" w:rsidP="00DE5EDC">
      <w:r>
        <w:t xml:space="preserve">2024-25 Stream 2 projects will be required to provide an update on the project status including submission of all current documentation. VHBA will assist with this submission to ensure any time constraints do not disadvantage their applications. </w:t>
      </w:r>
    </w:p>
    <w:p w14:paraId="638C2286" w14:textId="77777777" w:rsidR="00C941EB" w:rsidRPr="001425E2" w:rsidRDefault="00DE5EDC" w:rsidP="00DE5EDC">
      <w:pPr>
        <w:pStyle w:val="VHBAbody"/>
        <w:rPr>
          <w:rFonts w:eastAsia="Times New Roman"/>
        </w:rPr>
      </w:pPr>
      <w:r w:rsidRPr="001425E2">
        <w:rPr>
          <w:rFonts w:eastAsia="Times New Roman"/>
        </w:rPr>
        <w:t>Submissions will be subjected to a compliance assessment and confirmation will be sought from Department of Health areas including</w:t>
      </w:r>
      <w:r w:rsidR="00C941EB" w:rsidRPr="001425E2">
        <w:rPr>
          <w:rFonts w:eastAsia="Times New Roman"/>
        </w:rPr>
        <w:t xml:space="preserve"> Health Service Interface and Collaboration, System Design and Planning, Reform and Priority Communities, Commercial and Infrastructure, that the project is still supported.</w:t>
      </w:r>
    </w:p>
    <w:p w14:paraId="121566F1" w14:textId="77777777" w:rsidR="00DE5EDC" w:rsidRPr="008D5030" w:rsidRDefault="00DE5EDC" w:rsidP="00DE5EDC">
      <w:pPr>
        <w:pStyle w:val="VHBAbody"/>
      </w:pPr>
      <w:r w:rsidRPr="71BBB938">
        <w:rPr>
          <w:rFonts w:eastAsia="Times New Roman"/>
        </w:rPr>
        <w:lastRenderedPageBreak/>
        <w:t xml:space="preserve">The submission platform SmartyGrants includes a detailed submission form to examine project attributes including </w:t>
      </w:r>
      <w:r w:rsidRPr="71BBB938">
        <w:t>project scope, time, and cost (including detailed cost review and confirmation of contingency and escalation allowances).</w:t>
      </w:r>
    </w:p>
    <w:p w14:paraId="5A1AF37B" w14:textId="77777777" w:rsidR="00DE5EDC" w:rsidRPr="007B64FF" w:rsidRDefault="00DE5EDC" w:rsidP="00DE5EDC">
      <w:pPr>
        <w:pStyle w:val="VHBAbody"/>
        <w:rPr>
          <w:rFonts w:eastAsia="Times New Roman"/>
        </w:rPr>
      </w:pPr>
      <w:r w:rsidRPr="00EC7BB0">
        <w:rPr>
          <w:rFonts w:eastAsia="Times New Roman"/>
        </w:rPr>
        <w:t>Where Stream 2 projects have escalated above $10m, these projects may be excluded from evaluations and will either need to be value managed / descoped to less than $10m or considered outside the RHIF program.</w:t>
      </w:r>
    </w:p>
    <w:p w14:paraId="56FB9DE8" w14:textId="77777777" w:rsidR="00ED1FA4" w:rsidRDefault="00DE5EDC" w:rsidP="00ED1FA4">
      <w:pPr>
        <w:pStyle w:val="BodyNumbering1"/>
        <w:numPr>
          <w:ilvl w:val="0"/>
          <w:numId w:val="0"/>
        </w:numPr>
      </w:pPr>
      <w:r>
        <w:rPr>
          <w:rFonts w:eastAsia="Times New Roman"/>
        </w:rPr>
        <w:t>The s</w:t>
      </w:r>
      <w:r w:rsidRPr="006D07AF">
        <w:rPr>
          <w:rFonts w:eastAsia="Times New Roman"/>
        </w:rPr>
        <w:t xml:space="preserve">ubmission and evaluation process will </w:t>
      </w:r>
      <w:r w:rsidRPr="4D89B148">
        <w:rPr>
          <w:rFonts w:eastAsia="Times New Roman"/>
        </w:rPr>
        <w:t>follow</w:t>
      </w:r>
      <w:r w:rsidRPr="006D07AF">
        <w:rPr>
          <w:rFonts w:eastAsia="Times New Roman"/>
        </w:rPr>
        <w:t xml:space="preserve"> </w:t>
      </w:r>
      <w:r>
        <w:t>the Grant Round and Evaluation Process as shown diagrammatically in Figures 1</w:t>
      </w:r>
      <w:bookmarkStart w:id="64" w:name="_Toc217317823"/>
      <w:bookmarkStart w:id="65" w:name="_Toc217405484"/>
    </w:p>
    <w:p w14:paraId="0DE5C086" w14:textId="77777777" w:rsidR="001C01F1" w:rsidRDefault="001C01F1" w:rsidP="00ED1FA4">
      <w:pPr>
        <w:pStyle w:val="BodyNumbering1"/>
        <w:numPr>
          <w:ilvl w:val="0"/>
          <w:numId w:val="0"/>
        </w:numPr>
        <w:rPr>
          <w:bCs/>
        </w:rPr>
      </w:pPr>
      <w:r w:rsidRPr="00C64728">
        <w:rPr>
          <w:rStyle w:val="Heading2Char"/>
          <w:bCs/>
          <w:sz w:val="22"/>
          <w:szCs w:val="22"/>
        </w:rPr>
        <w:lastRenderedPageBreak/>
        <w:t>Figure 1: Grant Assessment and Evaluation Process</w:t>
      </w:r>
      <w:bookmarkEnd w:id="64"/>
      <w:bookmarkEnd w:id="65"/>
      <w:r w:rsidRPr="00C64728">
        <w:rPr>
          <w:rStyle w:val="Heading2Char"/>
          <w:bCs/>
          <w:sz w:val="22"/>
          <w:szCs w:val="22"/>
        </w:rPr>
        <w:t xml:space="preserve"> </w:t>
      </w:r>
      <w:r>
        <w:rPr>
          <w:bCs/>
          <w:noProof/>
        </w:rPr>
        <w:drawing>
          <wp:inline distT="0" distB="0" distL="0" distR="0" wp14:anchorId="199C362C" wp14:editId="01BAD5DC">
            <wp:extent cx="6208811" cy="8399721"/>
            <wp:effectExtent l="0" t="0" r="1905" b="1905"/>
            <wp:docPr id="38989761" name="Picture 1" descr="A flowchart showing main steps of submissio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89761" name="Picture 1" descr="A flowchart showing main steps of submission proces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47285" cy="8451772"/>
                    </a:xfrm>
                    <a:prstGeom prst="rect">
                      <a:avLst/>
                    </a:prstGeom>
                    <a:noFill/>
                  </pic:spPr>
                </pic:pic>
              </a:graphicData>
            </a:graphic>
          </wp:inline>
        </w:drawing>
      </w:r>
    </w:p>
    <w:p w14:paraId="42179618" w14:textId="77777777" w:rsidR="001C01F1" w:rsidRDefault="001C01F1" w:rsidP="001C01F1">
      <w:pPr>
        <w:pStyle w:val="VHBAfigurecaption"/>
        <w:rPr>
          <w:bCs/>
        </w:rPr>
      </w:pPr>
      <w:r>
        <w:rPr>
          <w:noProof/>
        </w:rPr>
        <w:lastRenderedPageBreak/>
        <w:drawing>
          <wp:inline distT="0" distB="0" distL="0" distR="0" wp14:anchorId="0C19D3C1" wp14:editId="54D24E0F">
            <wp:extent cx="6529209" cy="9431079"/>
            <wp:effectExtent l="0" t="0" r="5080" b="0"/>
            <wp:docPr id="1114242422" name="Graphic 1" descr="Flowchart showing main steps of evaluation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242422" name="Graphic 1" descr="Flowchart showing main steps of evaluation process"/>
                    <pic:cNvPicPr/>
                  </pic:nvPicPr>
                  <pic:blipFill>
                    <a:blip r:embed="rId23">
                      <a:extLst>
                        <a:ext uri="{96DAC541-7B7A-43D3-8B79-37D633B846F1}">
                          <asvg:svgBlip xmlns:asvg="http://schemas.microsoft.com/office/drawing/2016/SVG/main" r:embed="rId24"/>
                        </a:ext>
                      </a:extLst>
                    </a:blip>
                    <a:stretch>
                      <a:fillRect/>
                    </a:stretch>
                  </pic:blipFill>
                  <pic:spPr>
                    <a:xfrm>
                      <a:off x="0" y="0"/>
                      <a:ext cx="6542956" cy="9450936"/>
                    </a:xfrm>
                    <a:prstGeom prst="rect">
                      <a:avLst/>
                    </a:prstGeom>
                  </pic:spPr>
                </pic:pic>
              </a:graphicData>
            </a:graphic>
          </wp:inline>
        </w:drawing>
      </w:r>
      <w:r w:rsidRPr="2E4C96C3">
        <w:rPr>
          <w:bCs/>
        </w:rPr>
        <w:t xml:space="preserve"> </w:t>
      </w:r>
      <w:r w:rsidRPr="2E4C96C3">
        <w:rPr>
          <w:bCs/>
        </w:rPr>
        <w:br w:type="page"/>
      </w:r>
    </w:p>
    <w:p w14:paraId="1DE5E027" w14:textId="77777777" w:rsidR="001C01F1" w:rsidRPr="008D1755" w:rsidRDefault="001C01F1" w:rsidP="001C01F1">
      <w:bookmarkStart w:id="66" w:name="_Toc104899203"/>
      <w:bookmarkStart w:id="67" w:name="_Toc104970630"/>
      <w:bookmarkStart w:id="68" w:name="_Toc105427750"/>
      <w:bookmarkStart w:id="69" w:name="_Toc217317824"/>
      <w:bookmarkStart w:id="70" w:name="_Toc217405485"/>
      <w:r w:rsidRPr="17A81E86">
        <w:rPr>
          <w:rStyle w:val="Heading2Char"/>
        </w:rPr>
        <w:lastRenderedPageBreak/>
        <w:t>Project categories</w:t>
      </w:r>
      <w:bookmarkEnd w:id="66"/>
      <w:bookmarkEnd w:id="67"/>
      <w:bookmarkEnd w:id="68"/>
      <w:bookmarkEnd w:id="69"/>
      <w:bookmarkEnd w:id="70"/>
    </w:p>
    <w:p w14:paraId="16D4EBF2" w14:textId="77777777" w:rsidR="001C01F1" w:rsidRPr="008D1755" w:rsidRDefault="001C01F1" w:rsidP="001C01F1">
      <w:pPr>
        <w:rPr>
          <w:rFonts w:eastAsia="Times New Roman"/>
        </w:rPr>
      </w:pPr>
      <w:r w:rsidRPr="142FB3A0">
        <w:rPr>
          <w:rFonts w:eastAsia="Times New Roman"/>
        </w:rPr>
        <w:t xml:space="preserve">RHIF </w:t>
      </w:r>
      <w:r>
        <w:rPr>
          <w:rFonts w:eastAsia="Times New Roman"/>
        </w:rPr>
        <w:t>2025-26</w:t>
      </w:r>
      <w:r w:rsidRPr="142FB3A0">
        <w:rPr>
          <w:rFonts w:eastAsia="Times New Roman"/>
        </w:rPr>
        <w:t xml:space="preserve"> submissions will be categorised into one of the following:</w:t>
      </w:r>
    </w:p>
    <w:p w14:paraId="016C6A1A" w14:textId="77777777" w:rsidR="001C01F1" w:rsidRPr="008D1755" w:rsidRDefault="001C01F1" w:rsidP="001C01F1">
      <w:pPr>
        <w:pStyle w:val="VHBAnumberdigit"/>
        <w:numPr>
          <w:ilvl w:val="0"/>
          <w:numId w:val="28"/>
        </w:numPr>
      </w:pPr>
      <w:r w:rsidRPr="008D1755">
        <w:t>Regulatory and Compliance</w:t>
      </w:r>
    </w:p>
    <w:p w14:paraId="372F09FD" w14:textId="77777777" w:rsidR="001C01F1" w:rsidRPr="008D1755" w:rsidRDefault="001C01F1" w:rsidP="001C01F1">
      <w:pPr>
        <w:pStyle w:val="VHBAnumberdigit"/>
      </w:pPr>
      <w:r>
        <w:t>Quality and Safety</w:t>
      </w:r>
    </w:p>
    <w:p w14:paraId="229EFEA3" w14:textId="77777777" w:rsidR="001C01F1" w:rsidRPr="008D1755" w:rsidRDefault="001C01F1" w:rsidP="001C01F1">
      <w:pPr>
        <w:pStyle w:val="VHBAnumberdigit"/>
      </w:pPr>
      <w:r>
        <w:t>Respond to Growing Demand/Capability.</w:t>
      </w:r>
    </w:p>
    <w:p w14:paraId="489B7C58" w14:textId="77777777" w:rsidR="001C01F1" w:rsidRPr="008D1755" w:rsidRDefault="001C01F1" w:rsidP="001C01F1">
      <w:pPr>
        <w:pStyle w:val="Heading2"/>
        <w:numPr>
          <w:ilvl w:val="0"/>
          <w:numId w:val="0"/>
        </w:numPr>
      </w:pPr>
      <w:bookmarkStart w:id="71" w:name="_Toc104970631"/>
      <w:bookmarkStart w:id="72" w:name="_Toc105427751"/>
      <w:bookmarkStart w:id="73" w:name="_Toc217317825"/>
      <w:bookmarkStart w:id="74" w:name="_Toc217405486"/>
      <w:r>
        <w:t>Supporting documentation</w:t>
      </w:r>
      <w:bookmarkEnd w:id="71"/>
      <w:bookmarkEnd w:id="72"/>
      <w:bookmarkEnd w:id="73"/>
      <w:bookmarkEnd w:id="74"/>
    </w:p>
    <w:p w14:paraId="0FFE209A" w14:textId="77777777" w:rsidR="001C01F1" w:rsidRPr="00D96509" w:rsidRDefault="001C01F1" w:rsidP="001C01F1">
      <w:r w:rsidRPr="71BBB938">
        <w:t xml:space="preserve">Each submission should address the selection criteria and include a full description of the scope of the project, key deliverables, likely benefits, project readiness, funding sought (including contingency allowances), and how key risks would be mitigated. </w:t>
      </w:r>
    </w:p>
    <w:p w14:paraId="23356540" w14:textId="77777777" w:rsidR="001C01F1" w:rsidRPr="00744EF1" w:rsidRDefault="001C01F1" w:rsidP="001C01F1">
      <w:r w:rsidRPr="71BBB938">
        <w:t>Table 1 earlier in this document outlined the mandatory requirements for submission of project information.  The following supporting documentation is required:</w:t>
      </w:r>
    </w:p>
    <w:p w14:paraId="527A0FA8" w14:textId="77777777" w:rsidR="001C01F1" w:rsidRPr="00955EC9" w:rsidRDefault="001C01F1" w:rsidP="001C01F1">
      <w:pPr>
        <w:pStyle w:val="VHBAbullet1"/>
        <w:ind w:left="397" w:hanging="397"/>
      </w:pPr>
      <w:r w:rsidRPr="00955EC9">
        <w:t>Project management plan (PMP) for construction projects:</w:t>
      </w:r>
    </w:p>
    <w:p w14:paraId="2FB77DD8" w14:textId="77777777" w:rsidR="001C01F1" w:rsidRPr="00955EC9" w:rsidRDefault="001C01F1" w:rsidP="001C01F1">
      <w:pPr>
        <w:pStyle w:val="VHBAbullet2"/>
        <w:ind w:left="794" w:hanging="397"/>
      </w:pPr>
      <w:r w:rsidRPr="00955EC9">
        <w:t xml:space="preserve">Desirable for </w:t>
      </w:r>
      <w:r>
        <w:t>submissions</w:t>
      </w:r>
      <w:r w:rsidRPr="00955EC9">
        <w:t xml:space="preserve"> less than $</w:t>
      </w:r>
      <w:r>
        <w:t>2</w:t>
      </w:r>
      <w:r w:rsidRPr="00955EC9">
        <w:t xml:space="preserve"> million and at minimum should include information on scope, governance structure, timelines, deliverables, beneﬁts</w:t>
      </w:r>
    </w:p>
    <w:p w14:paraId="2D638AD5" w14:textId="77777777" w:rsidR="001C01F1" w:rsidRPr="00955EC9" w:rsidRDefault="001C01F1" w:rsidP="001C01F1">
      <w:pPr>
        <w:pStyle w:val="VHBAbullet2"/>
        <w:ind w:left="794" w:hanging="397"/>
      </w:pPr>
      <w:r w:rsidRPr="71BBB938">
        <w:t>Mandatory for submissions greater than $2 million and at minimum must include where appropriate links demonstrating alignment with regional and health service strategic plans, including health campus master plans. The PMP needs to clearly set out scope, deliverables, benefits, timelines, cost plans, procurement strategy, project governance structure (project organisation charts) and risk assessments</w:t>
      </w:r>
    </w:p>
    <w:p w14:paraId="5ED1CC2B" w14:textId="77777777" w:rsidR="001C01F1" w:rsidRPr="00BC3E8A" w:rsidRDefault="001C01F1" w:rsidP="001C01F1">
      <w:pPr>
        <w:pStyle w:val="VHBAbullet1"/>
        <w:ind w:left="397" w:hanging="397"/>
      </w:pPr>
      <w:r w:rsidRPr="71BBB938">
        <w:t>Detailed design drawings, master plans, functional plans, elevations ready for Tender or Issued for Construction stage accompanied by appropriate technical specifications</w:t>
      </w:r>
    </w:p>
    <w:p w14:paraId="31926FB4" w14:textId="77777777" w:rsidR="001C01F1" w:rsidRDefault="001C01F1" w:rsidP="001C01F1">
      <w:pPr>
        <w:pStyle w:val="VHBAbullet1"/>
        <w:ind w:left="397" w:hanging="397"/>
      </w:pPr>
      <w:r w:rsidRPr="71BBB938">
        <w:t xml:space="preserve">Detailed cost plan from an independent professional quantity surveyor or cost planner, which includes associated decanting costs, infrastructure connection/upgrade costs, site/infrastructure costs, demolition, fees, which includes acceptable allowances for design, construction contingencies, escalation and cost risk </w:t>
      </w:r>
    </w:p>
    <w:p w14:paraId="59D41D50" w14:textId="77777777" w:rsidR="001C01F1" w:rsidRPr="00D96509" w:rsidRDefault="001C01F1" w:rsidP="001C01F1">
      <w:pPr>
        <w:pStyle w:val="VHBAbullet1"/>
        <w:ind w:left="397" w:hanging="397"/>
      </w:pPr>
      <w:r w:rsidRPr="00D96509">
        <w:t>Documentation and procurement processes in place to enable invitation of market tenders for construction / delivery quotations.</w:t>
      </w:r>
    </w:p>
    <w:p w14:paraId="3975667F" w14:textId="77777777" w:rsidR="001C01F1" w:rsidRPr="00D96509" w:rsidRDefault="001C01F1" w:rsidP="001C01F1">
      <w:pPr>
        <w:pStyle w:val="VHBAbullet2"/>
        <w:ind w:left="794" w:hanging="397"/>
      </w:pPr>
      <w:r w:rsidRPr="00D96509">
        <w:t>If not yet issued to market, tender documentation including nature of contract (build only, design&amp; construct, etc)</w:t>
      </w:r>
    </w:p>
    <w:p w14:paraId="67E9E735" w14:textId="77777777" w:rsidR="001C01F1" w:rsidRPr="00D96509" w:rsidRDefault="001C01F1" w:rsidP="001C01F1">
      <w:pPr>
        <w:pStyle w:val="VHBAbullet2"/>
        <w:ind w:left="794" w:hanging="397"/>
      </w:pPr>
      <w:r w:rsidRPr="71BBB938">
        <w:t xml:space="preserve">If already issued to market, a builder’s / supplier’s quotation or tender submission </w:t>
      </w:r>
    </w:p>
    <w:p w14:paraId="1357CAA0" w14:textId="77777777" w:rsidR="001C01F1" w:rsidRPr="00D96509" w:rsidRDefault="001C01F1" w:rsidP="001C01F1">
      <w:pPr>
        <w:pStyle w:val="VHBAbullet1"/>
        <w:ind w:left="397" w:hanging="397"/>
      </w:pPr>
      <w:r w:rsidRPr="71BBB938">
        <w:t>Quotations from external suppliers for equipment purchases, supply/installation (including provision to ‘make good’ if appropriate)</w:t>
      </w:r>
    </w:p>
    <w:p w14:paraId="2A0524F5" w14:textId="77777777" w:rsidR="001C01F1" w:rsidRPr="00D96509" w:rsidRDefault="001C01F1" w:rsidP="001C01F1">
      <w:pPr>
        <w:pStyle w:val="VHBAbullet1"/>
        <w:ind w:left="397" w:hanging="397"/>
      </w:pPr>
      <w:r w:rsidRPr="00D96509">
        <w:t>Schedule of specialist medical equipment (including cost estimates for individual items)</w:t>
      </w:r>
    </w:p>
    <w:p w14:paraId="226793C3" w14:textId="77777777" w:rsidR="001C01F1" w:rsidRPr="00D96509" w:rsidRDefault="001C01F1" w:rsidP="001C01F1">
      <w:pPr>
        <w:pStyle w:val="VHBAbullet1"/>
        <w:ind w:left="397" w:hanging="397"/>
      </w:pPr>
      <w:r w:rsidRPr="71BBB938">
        <w:t>Realistic timeframes for completion, accompanied by an appropriately detailed programme and timeline predictions in line with VHBA milestone dates</w:t>
      </w:r>
    </w:p>
    <w:p w14:paraId="7A9C61A0" w14:textId="77777777" w:rsidR="001C01F1" w:rsidRPr="00D96509" w:rsidRDefault="001C01F1" w:rsidP="001C01F1">
      <w:pPr>
        <w:pStyle w:val="VHBAbullet1"/>
        <w:ind w:left="397" w:hanging="397"/>
      </w:pPr>
      <w:r w:rsidRPr="00D96509">
        <w:t xml:space="preserve">Regulatory approvals (planning, building etc) are in place and conditions able to be satisfied within </w:t>
      </w:r>
      <w:r>
        <w:t>Total End Investment (</w:t>
      </w:r>
      <w:r w:rsidRPr="00D96509">
        <w:t>TEI</w:t>
      </w:r>
      <w:r>
        <w:t>)</w:t>
      </w:r>
      <w:r w:rsidRPr="00D96509">
        <w:t xml:space="preserve"> estimates</w:t>
      </w:r>
    </w:p>
    <w:p w14:paraId="5C5A2365" w14:textId="77777777" w:rsidR="001C01F1" w:rsidRPr="00D96509" w:rsidRDefault="001C01F1" w:rsidP="001C01F1">
      <w:pPr>
        <w:pStyle w:val="VHBAbullet1"/>
        <w:ind w:left="397" w:hanging="397"/>
      </w:pPr>
      <w:r w:rsidRPr="71BBB938">
        <w:t>Evidence of discussions and at minimum, email confirming support or in-principle acceptance by CSI</w:t>
      </w:r>
    </w:p>
    <w:p w14:paraId="090CC5AB" w14:textId="77777777" w:rsidR="001C01F1" w:rsidRPr="00D96509" w:rsidRDefault="001C01F1" w:rsidP="001C01F1">
      <w:pPr>
        <w:pStyle w:val="VHBAbullet1"/>
        <w:ind w:left="397" w:hanging="397"/>
      </w:pPr>
      <w:r w:rsidRPr="71BBB938">
        <w:t>Other information that could be submitted may include:</w:t>
      </w:r>
    </w:p>
    <w:p w14:paraId="4A07DAC8" w14:textId="77777777" w:rsidR="001C01F1" w:rsidRPr="00D96509" w:rsidRDefault="001C01F1" w:rsidP="001C01F1">
      <w:pPr>
        <w:pStyle w:val="VHBAbullet2"/>
        <w:ind w:left="794" w:hanging="397"/>
      </w:pPr>
      <w:r w:rsidRPr="00D96509">
        <w:t>photographs of existing conditions and computer drafted imagery or artists impressions of future state</w:t>
      </w:r>
    </w:p>
    <w:p w14:paraId="2A610432" w14:textId="77777777" w:rsidR="001C01F1" w:rsidRPr="00D96509" w:rsidRDefault="001C01F1" w:rsidP="001C01F1">
      <w:pPr>
        <w:pStyle w:val="VHBAbullet2"/>
        <w:ind w:left="794" w:hanging="397"/>
      </w:pPr>
      <w:r w:rsidRPr="00D96509">
        <w:t>procurement framework for non-construction projects</w:t>
      </w:r>
    </w:p>
    <w:p w14:paraId="66EACE53" w14:textId="77777777" w:rsidR="001C01F1" w:rsidRPr="00D96509" w:rsidRDefault="001C01F1" w:rsidP="001C01F1">
      <w:pPr>
        <w:pStyle w:val="VHBAbullet2"/>
        <w:ind w:left="794" w:hanging="397"/>
      </w:pPr>
      <w:r w:rsidRPr="00D96509">
        <w:t>independent reports (audits, non-compliance reports or improvement notices) highlighting risk and/or compliance issues including recommendations and proposed solutions</w:t>
      </w:r>
    </w:p>
    <w:p w14:paraId="58FA3006" w14:textId="77777777" w:rsidR="001C01F1" w:rsidRDefault="001C01F1" w:rsidP="001C01F1">
      <w:pPr>
        <w:pStyle w:val="VHBAbullet2"/>
        <w:ind w:left="794" w:hanging="397"/>
      </w:pPr>
      <w:r w:rsidRPr="00D96509">
        <w:t>risk registers</w:t>
      </w:r>
    </w:p>
    <w:p w14:paraId="11114946" w14:textId="77777777" w:rsidR="001C01F1" w:rsidRDefault="001C01F1" w:rsidP="001C01F1">
      <w:pPr>
        <w:pStyle w:val="VHBAbullet1"/>
        <w:numPr>
          <w:ilvl w:val="0"/>
          <w:numId w:val="0"/>
        </w:numPr>
        <w:ind w:left="397" w:hanging="397"/>
        <w:rPr>
          <w:b/>
          <w:bCs/>
        </w:rPr>
      </w:pPr>
    </w:p>
    <w:p w14:paraId="5F34B5E7" w14:textId="77777777" w:rsidR="001C01F1" w:rsidRDefault="001C01F1" w:rsidP="001C01F1">
      <w:pPr>
        <w:pStyle w:val="VHBAbullet1"/>
        <w:numPr>
          <w:ilvl w:val="0"/>
          <w:numId w:val="0"/>
        </w:numPr>
        <w:ind w:left="397" w:hanging="397"/>
        <w:rPr>
          <w:b/>
          <w:bCs/>
        </w:rPr>
      </w:pPr>
    </w:p>
    <w:p w14:paraId="043356F5" w14:textId="77777777" w:rsidR="001C01F1" w:rsidRPr="006F1F08" w:rsidRDefault="001C01F1" w:rsidP="001C01F1">
      <w:pPr>
        <w:pStyle w:val="VHBAbullet1"/>
        <w:numPr>
          <w:ilvl w:val="0"/>
          <w:numId w:val="0"/>
        </w:numPr>
        <w:ind w:left="397" w:hanging="397"/>
        <w:rPr>
          <w:b/>
          <w:bCs/>
        </w:rPr>
      </w:pPr>
      <w:r w:rsidRPr="006F1F08">
        <w:rPr>
          <w:b/>
          <w:bCs/>
        </w:rPr>
        <w:t>Union consultation</w:t>
      </w:r>
    </w:p>
    <w:p w14:paraId="409BA808" w14:textId="77777777" w:rsidR="001C01F1" w:rsidRPr="00D96509" w:rsidRDefault="001C01F1" w:rsidP="001C01F1">
      <w:pPr>
        <w:pStyle w:val="VHBAbullet1"/>
        <w:ind w:left="397" w:hanging="397"/>
      </w:pPr>
      <w:r w:rsidRPr="71BBB938">
        <w:t>For construction projects comprising expansion and/or reconfiguration the Health Agency/Operator will be required to provide a written attestation at completion of the design development phase/gate that the relevant union has been consulted on the design</w:t>
      </w:r>
    </w:p>
    <w:p w14:paraId="2E8A0922" w14:textId="77777777" w:rsidR="001C01F1" w:rsidRPr="008D1755" w:rsidRDefault="001C01F1" w:rsidP="001C01F1">
      <w:pPr>
        <w:pStyle w:val="Heading2"/>
        <w:numPr>
          <w:ilvl w:val="0"/>
          <w:numId w:val="0"/>
        </w:numPr>
      </w:pPr>
      <w:bookmarkStart w:id="75" w:name="_Toc104970632"/>
      <w:bookmarkStart w:id="76" w:name="_Toc105427752"/>
      <w:bookmarkStart w:id="77" w:name="_Toc217317826"/>
      <w:bookmarkStart w:id="78" w:name="_Toc217405487"/>
      <w:r>
        <w:t xml:space="preserve">Online portal for </w:t>
      </w:r>
      <w:bookmarkEnd w:id="75"/>
      <w:bookmarkEnd w:id="76"/>
      <w:r>
        <w:t>submissions</w:t>
      </w:r>
      <w:bookmarkEnd w:id="77"/>
      <w:bookmarkEnd w:id="78"/>
    </w:p>
    <w:p w14:paraId="008D291C" w14:textId="77777777" w:rsidR="001C01F1" w:rsidRDefault="001C01F1" w:rsidP="001C01F1">
      <w:pPr>
        <w:pStyle w:val="VHBAbody"/>
        <w:rPr>
          <w:rFonts w:cs="Arial"/>
        </w:rPr>
      </w:pPr>
      <w:r w:rsidRPr="71BBB938">
        <w:rPr>
          <w:rFonts w:cs="Arial"/>
        </w:rPr>
        <w:t xml:space="preserve">The online portal, SmartyGrants, will be the means of submission. The web address for general information about </w:t>
      </w:r>
      <w:hyperlink r:id="rId25">
        <w:r w:rsidRPr="71BBB938">
          <w:rPr>
            <w:rStyle w:val="Hyperlink"/>
            <w:rFonts w:cs="Arial"/>
          </w:rPr>
          <w:t>SmartyGrants</w:t>
        </w:r>
      </w:hyperlink>
      <w:r w:rsidRPr="71BBB938">
        <w:rPr>
          <w:rFonts w:cs="Arial"/>
        </w:rPr>
        <w:t xml:space="preserve"> is &lt;</w:t>
      </w:r>
      <w:r w:rsidRPr="71BBB938">
        <w:t>www.smartygrants.com.au</w:t>
      </w:r>
      <w:r w:rsidRPr="71BBB938">
        <w:rPr>
          <w:rFonts w:cs="Arial"/>
        </w:rPr>
        <w:t xml:space="preserve">&gt;. </w:t>
      </w:r>
    </w:p>
    <w:tbl>
      <w:tblPr>
        <w:tblW w:w="9214" w:type="dxa"/>
        <w:shd w:val="clear" w:color="auto" w:fill="FDDDC3" w:themeFill="accent4" w:themeFillTint="66"/>
        <w:tblLook w:val="0000" w:firstRow="0" w:lastRow="0" w:firstColumn="0" w:lastColumn="0" w:noHBand="0" w:noVBand="0"/>
      </w:tblPr>
      <w:tblGrid>
        <w:gridCol w:w="9214"/>
      </w:tblGrid>
      <w:tr w:rsidR="001C01F1" w14:paraId="2D4D4BE8" w14:textId="77777777" w:rsidTr="00F85AFC">
        <w:tc>
          <w:tcPr>
            <w:tcW w:w="9214" w:type="dxa"/>
            <w:shd w:val="clear" w:color="auto" w:fill="FDDDC3" w:themeFill="accent4" w:themeFillTint="66"/>
          </w:tcPr>
          <w:p w14:paraId="426EBCC9" w14:textId="66D7F2D4" w:rsidR="001C01F1" w:rsidRDefault="001C01F1" w:rsidP="00F85AFC">
            <w:pPr>
              <w:rPr>
                <w:rFonts w:cs="Arial"/>
              </w:rPr>
            </w:pPr>
            <w:r w:rsidRPr="71BBB938">
              <w:rPr>
                <w:rFonts w:cs="Arial"/>
              </w:rPr>
              <w:t xml:space="preserve">To make a submission, you will be required to create a password protected log-in to access the submission form at </w:t>
            </w:r>
            <w:hyperlink r:id="rId26">
              <w:r w:rsidRPr="71BBB938">
                <w:rPr>
                  <w:rStyle w:val="Hyperlink"/>
                </w:rPr>
                <w:t>SmartyGrants page</w:t>
              </w:r>
            </w:hyperlink>
            <w:r w:rsidRPr="71BBB938">
              <w:t xml:space="preserve"> &lt; </w:t>
            </w:r>
            <w:hyperlink r:id="rId27" w:history="1">
              <w:r w:rsidRPr="00E2736E">
                <w:rPr>
                  <w:rStyle w:val="Hyperlink"/>
                </w:rPr>
                <w:t>https://dhhs.smartygrants.com.au/RHIF2025-26</w:t>
              </w:r>
            </w:hyperlink>
            <w:r w:rsidRPr="71BBB938">
              <w:t xml:space="preserve"> &gt;</w:t>
            </w:r>
          </w:p>
        </w:tc>
      </w:tr>
    </w:tbl>
    <w:p w14:paraId="0965BCE8" w14:textId="77777777" w:rsidR="001C01F1" w:rsidRPr="008D1755" w:rsidRDefault="001C01F1" w:rsidP="001C01F1">
      <w:pPr>
        <w:pStyle w:val="VHBAbodyaftertablefigure"/>
      </w:pPr>
      <w:r w:rsidRPr="008D1755">
        <w:t xml:space="preserve">All </w:t>
      </w:r>
      <w:r>
        <w:t>submissions</w:t>
      </w:r>
      <w:r w:rsidRPr="008D1755">
        <w:t xml:space="preserve"> must be:</w:t>
      </w:r>
    </w:p>
    <w:p w14:paraId="1F0CB78C" w14:textId="77777777" w:rsidR="001C01F1" w:rsidRPr="008D1755" w:rsidRDefault="001C01F1" w:rsidP="001C01F1">
      <w:pPr>
        <w:pStyle w:val="VHBAbullet1"/>
        <w:ind w:left="397" w:hanging="397"/>
      </w:pPr>
      <w:r w:rsidRPr="008D1755">
        <w:t>from an eligible agency</w:t>
      </w:r>
    </w:p>
    <w:p w14:paraId="45EA303A" w14:textId="77777777" w:rsidR="001C01F1" w:rsidRDefault="001C01F1" w:rsidP="001C01F1">
      <w:pPr>
        <w:pStyle w:val="VHBAbullet1"/>
        <w:ind w:left="397" w:hanging="397"/>
      </w:pPr>
      <w:r w:rsidRPr="008D1755">
        <w:t>endorsed by the Chief Executive Officer</w:t>
      </w:r>
      <w:r>
        <w:t xml:space="preserve"> and/or Board</w:t>
      </w:r>
    </w:p>
    <w:p w14:paraId="44490E04" w14:textId="77777777" w:rsidR="001C01F1" w:rsidRPr="008D1755" w:rsidRDefault="001C01F1" w:rsidP="001C01F1">
      <w:pPr>
        <w:pStyle w:val="VHBAbullet1"/>
        <w:ind w:left="397" w:hanging="397"/>
      </w:pPr>
      <w:r>
        <w:t>supported by your HSSI representative</w:t>
      </w:r>
    </w:p>
    <w:p w14:paraId="41AB8D57" w14:textId="77777777" w:rsidR="001C01F1" w:rsidRPr="008D1755" w:rsidRDefault="001C01F1" w:rsidP="001C01F1">
      <w:pPr>
        <w:pStyle w:val="VHBAbullet1"/>
        <w:ind w:left="397" w:hanging="397"/>
      </w:pPr>
      <w:r w:rsidRPr="71BBB938">
        <w:t>submitted via the online portal SmartyGrants submission form and include relevant supporting documentation (for example, project management plan (or business case), design drawings, photos, cost plans, quotations, letters of support and other supporting information)</w:t>
      </w:r>
    </w:p>
    <w:p w14:paraId="6D5A0CEF" w14:textId="2E358327" w:rsidR="001C01F1" w:rsidRPr="001425E2" w:rsidRDefault="001C01F1" w:rsidP="001C01F1">
      <w:pPr>
        <w:pStyle w:val="VHBAbullet1"/>
        <w:ind w:left="397" w:hanging="397"/>
        <w:rPr>
          <w:b/>
        </w:rPr>
      </w:pPr>
      <w:r w:rsidRPr="001425E2">
        <w:t xml:space="preserve">Received no later than the closing date </w:t>
      </w:r>
      <w:r w:rsidR="00620ABD" w:rsidRPr="00620ABD">
        <w:rPr>
          <w:b/>
        </w:rPr>
        <w:t xml:space="preserve">15 </w:t>
      </w:r>
      <w:r w:rsidR="002A122F" w:rsidRPr="001425E2">
        <w:rPr>
          <w:b/>
        </w:rPr>
        <w:t>June</w:t>
      </w:r>
      <w:r w:rsidRPr="001425E2">
        <w:rPr>
          <w:b/>
        </w:rPr>
        <w:t xml:space="preserve"> 2026</w:t>
      </w:r>
    </w:p>
    <w:p w14:paraId="32AF0DDC" w14:textId="77777777" w:rsidR="001C01F1" w:rsidRPr="008D1755" w:rsidRDefault="001C01F1" w:rsidP="001C01F1">
      <w:pPr>
        <w:pStyle w:val="VHBAbullet1"/>
        <w:ind w:left="397" w:hanging="397"/>
      </w:pPr>
      <w:r w:rsidRPr="71BBB938">
        <w:t>unless exceptional circumstances apply, submissions received after the specified time and date will be deemed ineligible for consideration.</w:t>
      </w:r>
    </w:p>
    <w:p w14:paraId="00B36D18" w14:textId="77777777" w:rsidR="001C01F1" w:rsidRPr="008D1755" w:rsidRDefault="001C01F1" w:rsidP="00677281">
      <w:pPr>
        <w:pStyle w:val="Heading9"/>
        <w:numPr>
          <w:ilvl w:val="0"/>
          <w:numId w:val="0"/>
        </w:numPr>
        <w:ind w:left="1418" w:hanging="1418"/>
        <w:rPr>
          <w:rFonts w:eastAsia="MS Gothic"/>
        </w:rPr>
      </w:pPr>
      <w:bookmarkStart w:id="79" w:name="_Toc183023725"/>
      <w:bookmarkStart w:id="80" w:name="_Toc217405488"/>
      <w:r w:rsidRPr="008D1755">
        <w:rPr>
          <w:rFonts w:eastAsia="MS Gothic"/>
        </w:rPr>
        <w:t>Consultation and advice</w:t>
      </w:r>
      <w:bookmarkEnd w:id="79"/>
      <w:bookmarkEnd w:id="80"/>
    </w:p>
    <w:p w14:paraId="7E6CDFB9" w14:textId="77777777" w:rsidR="001C01F1" w:rsidRPr="004E3EA9" w:rsidRDefault="001C01F1" w:rsidP="001C01F1">
      <w:pPr>
        <w:pStyle w:val="VHBAbody"/>
      </w:pPr>
      <w:r w:rsidRPr="71BBB938">
        <w:t xml:space="preserve">Technical queries or clarifications can be submitted through the </w:t>
      </w:r>
      <w:hyperlink r:id="rId28">
        <w:r w:rsidRPr="71BBB938">
          <w:rPr>
            <w:rStyle w:val="Hyperlink"/>
            <w:rFonts w:cs="Arial"/>
          </w:rPr>
          <w:t>Regional</w:t>
        </w:r>
        <w:r w:rsidRPr="71BBB938">
          <w:rPr>
            <w:rStyle w:val="Hyperlink"/>
          </w:rPr>
          <w:t xml:space="preserve"> Health Infrastructure Fund </w:t>
        </w:r>
        <w:r w:rsidRPr="71BBB938">
          <w:rPr>
            <w:rStyle w:val="Hyperlink"/>
            <w:rFonts w:cs="Arial"/>
          </w:rPr>
          <w:t>email</w:t>
        </w:r>
      </w:hyperlink>
      <w:r w:rsidRPr="71BBB938">
        <w:t xml:space="preserve"> address &lt;</w:t>
      </w:r>
      <w:r w:rsidRPr="00342C62">
        <w:rPr>
          <w:rFonts w:ascii="Calibri" w:hAnsi="Calibri" w:cs="Calibri"/>
          <w:sz w:val="22"/>
          <w:szCs w:val="22"/>
        </w:rPr>
        <w:t xml:space="preserve"> </w:t>
      </w:r>
      <w:r>
        <w:rPr>
          <w:rFonts w:ascii="Calibri" w:hAnsi="Calibri" w:cs="Calibri"/>
          <w:sz w:val="22"/>
          <w:szCs w:val="22"/>
        </w:rPr>
        <w:t>rhif-applications.vhba@vida.vic.gov.au</w:t>
      </w:r>
      <w:r w:rsidRPr="71BBB938">
        <w:t xml:space="preserve"> &gt;. VHBA will endeavour to respond to questions as quickly as possible.</w:t>
      </w:r>
    </w:p>
    <w:p w14:paraId="31CFAA47" w14:textId="1CD4AC51" w:rsidR="001C01F1" w:rsidRPr="004E3EA9" w:rsidRDefault="001C01F1" w:rsidP="001C01F1">
      <w:pPr>
        <w:pStyle w:val="VHBAbody"/>
      </w:pPr>
      <w:r w:rsidRPr="71BBB938">
        <w:rPr>
          <w:rFonts w:cs="Arial"/>
        </w:rPr>
        <w:t xml:space="preserve">Applicants are encouraged to seek assistance when preparing submissions from the </w:t>
      </w:r>
      <w:hyperlink r:id="rId29">
        <w:r w:rsidRPr="71BBB938">
          <w:rPr>
            <w:rStyle w:val="Hyperlink"/>
          </w:rPr>
          <w:t>Regional Health Infrastructure Fund email address</w:t>
        </w:r>
      </w:hyperlink>
      <w:r w:rsidRPr="71BBB938">
        <w:rPr>
          <w:rFonts w:cs="Arial"/>
        </w:rPr>
        <w:t xml:space="preserve"> &lt;</w:t>
      </w:r>
      <w:r w:rsidRPr="00DB044B">
        <w:t xml:space="preserve"> rhif-applications.vhba@vida.vic.gov.au </w:t>
      </w:r>
      <w:r w:rsidRPr="71BBB938">
        <w:t>&gt;</w:t>
      </w:r>
      <w:r w:rsidRPr="71BBB938">
        <w:rPr>
          <w:rFonts w:cs="Arial"/>
        </w:rPr>
        <w:t xml:space="preserve">, or via the </w:t>
      </w:r>
      <w:hyperlink r:id="rId30">
        <w:r w:rsidRPr="71BBB938">
          <w:rPr>
            <w:rStyle w:val="Hyperlink"/>
            <w:rFonts w:cs="Arial"/>
          </w:rPr>
          <w:t>Regional Health Infrastructure Fund website</w:t>
        </w:r>
      </w:hyperlink>
      <w:r w:rsidRPr="71BBB938">
        <w:rPr>
          <w:rFonts w:cs="Arial"/>
        </w:rPr>
        <w:t xml:space="preserve"> </w:t>
      </w:r>
      <w:r w:rsidRPr="71BBB938">
        <w:t>&lt;</w:t>
      </w:r>
      <w:hyperlink r:id="rId31" w:history="1">
        <w:r w:rsidRPr="00C13CAD">
          <w:rPr>
            <w:rStyle w:val="Hyperlink"/>
          </w:rPr>
          <w:t>https://www.vhba.vic.gov.au/health/regional-facilities/regional-health-infrastructure-fund</w:t>
        </w:r>
      </w:hyperlink>
      <w:r w:rsidRPr="71BBB938">
        <w:t xml:space="preserve">&gt;. </w:t>
      </w:r>
    </w:p>
    <w:p w14:paraId="06C444BB" w14:textId="6A479ED9" w:rsidR="001C01F1" w:rsidRPr="008D1755" w:rsidRDefault="001C01F1" w:rsidP="001C01F1">
      <w:pPr>
        <w:pStyle w:val="VHBAbody"/>
        <w:rPr>
          <w:rFonts w:eastAsia="MS Mincho"/>
        </w:rPr>
      </w:pPr>
      <w:r w:rsidRPr="71BBB938">
        <w:t xml:space="preserve">SmartyGrants technical assistance regarding completion of the online form can be obtained through reviewing the </w:t>
      </w:r>
      <w:hyperlink r:id="rId32">
        <w:r w:rsidRPr="71BBB938">
          <w:rPr>
            <w:rStyle w:val="Hyperlink"/>
          </w:rPr>
          <w:t>SmartyGrants help guide</w:t>
        </w:r>
      </w:hyperlink>
      <w:r w:rsidRPr="71BBB938">
        <w:t xml:space="preserve"> &lt;</w:t>
      </w:r>
      <w:hyperlink r:id="rId33" w:history="1">
        <w:r w:rsidRPr="00BA0E40">
          <w:rPr>
            <w:rStyle w:val="Hyperlink"/>
          </w:rPr>
          <w:t>https://applicanthelp.smartygrants.com.au/help-guide-for-applicants/</w:t>
        </w:r>
      </w:hyperlink>
      <w:r w:rsidRPr="71BBB938">
        <w:t xml:space="preserve">&gt; or contacting </w:t>
      </w:r>
      <w:hyperlink r:id="rId34">
        <w:r w:rsidRPr="71BBB938">
          <w:rPr>
            <w:rStyle w:val="Hyperlink"/>
            <w:rFonts w:eastAsia="MS Mincho"/>
          </w:rPr>
          <w:t>SmartyGrants</w:t>
        </w:r>
        <w:r w:rsidRPr="71BBB938">
          <w:rPr>
            <w:rStyle w:val="Hyperlink"/>
          </w:rPr>
          <w:t xml:space="preserve"> via email</w:t>
        </w:r>
      </w:hyperlink>
      <w:r w:rsidRPr="71BBB938">
        <w:t xml:space="preserve"> at &lt;</w:t>
      </w:r>
      <w:r w:rsidRPr="71BBB938">
        <w:rPr>
          <w:rFonts w:cs="Arial"/>
        </w:rPr>
        <w:t>service@smarty.grants.com.au&gt;</w:t>
      </w:r>
      <w:r w:rsidRPr="71BBB938">
        <w:rPr>
          <w:rFonts w:eastAsia="MS Mincho"/>
        </w:rPr>
        <w:t>, or calling (03) 9320 6888.</w:t>
      </w:r>
    </w:p>
    <w:p w14:paraId="328D72BB" w14:textId="77777777" w:rsidR="001C01F1" w:rsidRPr="008D1755" w:rsidRDefault="001C01F1" w:rsidP="00677281">
      <w:pPr>
        <w:pStyle w:val="Heading9"/>
        <w:numPr>
          <w:ilvl w:val="0"/>
          <w:numId w:val="0"/>
        </w:numPr>
        <w:ind w:left="1418" w:hanging="1418"/>
        <w:rPr>
          <w:rFonts w:eastAsia="MS Gothic"/>
        </w:rPr>
      </w:pPr>
      <w:bookmarkStart w:id="81" w:name="_Toc183023726"/>
      <w:bookmarkStart w:id="82" w:name="_Toc217405489"/>
      <w:r w:rsidRPr="008D1755">
        <w:rPr>
          <w:rFonts w:eastAsia="MS Gothic"/>
        </w:rPr>
        <w:t>Design guides and technical references</w:t>
      </w:r>
      <w:bookmarkEnd w:id="81"/>
      <w:bookmarkEnd w:id="82"/>
      <w:r w:rsidRPr="008D1755">
        <w:rPr>
          <w:rFonts w:eastAsia="MS Gothic"/>
        </w:rPr>
        <w:t xml:space="preserve"> </w:t>
      </w:r>
    </w:p>
    <w:p w14:paraId="77773DA2" w14:textId="77777777" w:rsidR="001C01F1" w:rsidRPr="008D1755" w:rsidRDefault="001C01F1" w:rsidP="001C01F1">
      <w:pPr>
        <w:rPr>
          <w:rFonts w:cs="Arial"/>
        </w:rPr>
      </w:pPr>
      <w:r w:rsidRPr="008D1755">
        <w:rPr>
          <w:rFonts w:cs="Arial"/>
        </w:rPr>
        <w:t xml:space="preserve">See </w:t>
      </w:r>
      <w:r w:rsidRPr="008D1755">
        <w:rPr>
          <w:rFonts w:cs="Arial"/>
          <w:i/>
          <w:iCs/>
        </w:rPr>
        <w:t xml:space="preserve">Appendix </w:t>
      </w:r>
      <w:r w:rsidR="00986791">
        <w:rPr>
          <w:rFonts w:cs="Arial"/>
          <w:i/>
          <w:iCs/>
        </w:rPr>
        <w:t>B</w:t>
      </w:r>
      <w:r w:rsidRPr="00CC474E">
        <w:rPr>
          <w:rFonts w:cs="Arial"/>
          <w:i/>
          <w:iCs/>
        </w:rPr>
        <w:t xml:space="preserve">: </w:t>
      </w:r>
      <w:r w:rsidRPr="008D1755">
        <w:rPr>
          <w:rFonts w:cs="Arial"/>
          <w:i/>
          <w:iCs/>
        </w:rPr>
        <w:t>Construction Projects in Victoria</w:t>
      </w:r>
      <w:r>
        <w:rPr>
          <w:rFonts w:cs="Arial"/>
        </w:rPr>
        <w:t xml:space="preserve"> for r</w:t>
      </w:r>
      <w:r w:rsidRPr="008D1755">
        <w:rPr>
          <w:rFonts w:cs="Arial"/>
        </w:rPr>
        <w:t xml:space="preserve">eferences and links </w:t>
      </w:r>
      <w:r>
        <w:rPr>
          <w:rFonts w:cs="Arial"/>
        </w:rPr>
        <w:t>to</w:t>
      </w:r>
      <w:r w:rsidRPr="008D1755">
        <w:rPr>
          <w:rFonts w:cs="Arial"/>
        </w:rPr>
        <w:t xml:space="preserve"> VHBA design and technical guidelines.</w:t>
      </w:r>
    </w:p>
    <w:p w14:paraId="3484578E" w14:textId="77777777" w:rsidR="001C01F1" w:rsidRPr="008D1755" w:rsidRDefault="001C01F1" w:rsidP="00677281">
      <w:pPr>
        <w:pStyle w:val="Heading1NoNumber"/>
        <w:rPr>
          <w:rFonts w:eastAsia="Times New Roman"/>
        </w:rPr>
      </w:pPr>
      <w:bookmarkStart w:id="83" w:name="_Toc57386772"/>
      <w:bookmarkStart w:id="84" w:name="_Toc103767396"/>
      <w:bookmarkStart w:id="85" w:name="_Toc103767439"/>
      <w:bookmarkStart w:id="86" w:name="_Toc104970633"/>
      <w:bookmarkStart w:id="87" w:name="_Toc105427753"/>
      <w:bookmarkStart w:id="88" w:name="_Toc217317827"/>
      <w:bookmarkStart w:id="89" w:name="_Toc217405490"/>
      <w:r w:rsidRPr="3F871A60">
        <w:rPr>
          <w:rFonts w:eastAsia="Times New Roman"/>
        </w:rPr>
        <w:lastRenderedPageBreak/>
        <w:t>Assessment criteria</w:t>
      </w:r>
      <w:bookmarkEnd w:id="83"/>
      <w:bookmarkEnd w:id="84"/>
      <w:bookmarkEnd w:id="85"/>
      <w:bookmarkEnd w:id="86"/>
      <w:bookmarkEnd w:id="87"/>
      <w:bookmarkEnd w:id="88"/>
      <w:bookmarkEnd w:id="89"/>
    </w:p>
    <w:p w14:paraId="541FA50C" w14:textId="77777777" w:rsidR="001C01F1" w:rsidRPr="008D1755" w:rsidRDefault="001C01F1" w:rsidP="001C01F1">
      <w:r w:rsidRPr="71BBB938">
        <w:t xml:space="preserve">Submissions will be assessed by a VHBA evaluation panel using a defined set of assessment criteria. Submissions should reflect agreed policy objectives and how the proposed works will meet the objectives of better health for people in regional and rural Victoria. </w:t>
      </w:r>
    </w:p>
    <w:p w14:paraId="5D0B9B9E" w14:textId="77777777" w:rsidR="001C01F1" w:rsidRDefault="001C01F1" w:rsidP="001C01F1">
      <w:r>
        <w:t>Submissions</w:t>
      </w:r>
      <w:r w:rsidRPr="008D1755">
        <w:t xml:space="preserve"> will be assessed within the project categories (Regulatory and Compliance, Quality and Safety, Respond to Growing Demand / Capability). </w:t>
      </w:r>
    </w:p>
    <w:p w14:paraId="215DE992" w14:textId="77777777" w:rsidR="001C01F1" w:rsidRDefault="001C01F1" w:rsidP="001C01F1">
      <w:r>
        <w:t>In addition, the project must be in alignment with the health services strategic plan, statement of priorities, Service Plan and Master Plan where relevant.</w:t>
      </w:r>
    </w:p>
    <w:p w14:paraId="2AD65278" w14:textId="77777777" w:rsidR="001C01F1" w:rsidRDefault="001C01F1" w:rsidP="001C01F1">
      <w:r w:rsidRPr="71BBB938">
        <w:t xml:space="preserve">High quality submissions will demonstrate: </w:t>
      </w:r>
    </w:p>
    <w:p w14:paraId="7B26838E" w14:textId="77777777" w:rsidR="001C01F1" w:rsidRDefault="001C01F1" w:rsidP="001C01F1">
      <w:pPr>
        <w:pStyle w:val="ListParagraph"/>
        <w:numPr>
          <w:ilvl w:val="0"/>
          <w:numId w:val="29"/>
        </w:numPr>
        <w:spacing w:before="0" w:line="270" w:lineRule="atLeast"/>
      </w:pPr>
      <w:r>
        <w:t xml:space="preserve">A clear and concise narrative of the current situation/problem/risk/opportunity that is facing the Health Service. </w:t>
      </w:r>
    </w:p>
    <w:p w14:paraId="0F91E71C" w14:textId="77777777" w:rsidR="001C01F1" w:rsidRDefault="001C01F1" w:rsidP="001C01F1">
      <w:pPr>
        <w:pStyle w:val="ListParagraph"/>
        <w:numPr>
          <w:ilvl w:val="0"/>
          <w:numId w:val="29"/>
        </w:numPr>
        <w:spacing w:before="0" w:line="270" w:lineRule="atLeast"/>
      </w:pPr>
      <w:r>
        <w:t xml:space="preserve">Comprehensive and detailed supporting evidence of the situation. </w:t>
      </w:r>
    </w:p>
    <w:p w14:paraId="6B5BCED9" w14:textId="77777777" w:rsidR="001C01F1" w:rsidRDefault="001C01F1" w:rsidP="001C01F1">
      <w:pPr>
        <w:pStyle w:val="ListParagraph"/>
        <w:numPr>
          <w:ilvl w:val="0"/>
          <w:numId w:val="29"/>
        </w:numPr>
        <w:spacing w:before="0" w:line="270" w:lineRule="atLeast"/>
      </w:pPr>
      <w:r>
        <w:t xml:space="preserve">Detailed and specific deliverables that are expected from the project. </w:t>
      </w:r>
    </w:p>
    <w:p w14:paraId="3C1B4515" w14:textId="77777777" w:rsidR="001C01F1" w:rsidRDefault="001C01F1" w:rsidP="001C01F1">
      <w:pPr>
        <w:pStyle w:val="ListParagraph"/>
        <w:numPr>
          <w:ilvl w:val="0"/>
          <w:numId w:val="29"/>
        </w:numPr>
        <w:spacing w:before="0" w:line="270" w:lineRule="atLeast"/>
      </w:pPr>
      <w:r>
        <w:t>A clear statement of the benefits / outcomes that are expected from the project including. performance metrics of before and after the project in areas such as:</w:t>
      </w:r>
    </w:p>
    <w:p w14:paraId="7D35FFFB" w14:textId="77777777" w:rsidR="001C01F1" w:rsidRDefault="001C01F1" w:rsidP="001C01F1">
      <w:pPr>
        <w:pStyle w:val="ListParagraph"/>
        <w:numPr>
          <w:ilvl w:val="0"/>
          <w:numId w:val="30"/>
        </w:numPr>
        <w:spacing w:before="0" w:line="270" w:lineRule="atLeast"/>
        <w:rPr>
          <w:rFonts w:ascii="Arial" w:hAnsi="Arial"/>
        </w:rPr>
      </w:pPr>
      <w:r w:rsidRPr="00587EE1">
        <w:rPr>
          <w:rFonts w:ascii="Arial" w:hAnsi="Arial"/>
        </w:rPr>
        <w:t xml:space="preserve">Improved patient experience &amp; quality of care </w:t>
      </w:r>
    </w:p>
    <w:p w14:paraId="1BAA39B8" w14:textId="77777777" w:rsidR="001C01F1" w:rsidRDefault="001C01F1" w:rsidP="001C01F1">
      <w:pPr>
        <w:pStyle w:val="ListParagraph"/>
        <w:numPr>
          <w:ilvl w:val="0"/>
          <w:numId w:val="30"/>
        </w:numPr>
        <w:spacing w:before="0" w:line="270" w:lineRule="atLeast"/>
        <w:rPr>
          <w:rFonts w:ascii="Arial" w:hAnsi="Arial"/>
        </w:rPr>
      </w:pPr>
      <w:r w:rsidRPr="71BBB938">
        <w:rPr>
          <w:rFonts w:ascii="Arial" w:hAnsi="Arial"/>
        </w:rPr>
        <w:t xml:space="preserve">Increased system efficiency and enhance service capacity </w:t>
      </w:r>
    </w:p>
    <w:p w14:paraId="6C75134B" w14:textId="77777777" w:rsidR="001C01F1" w:rsidRDefault="001C01F1" w:rsidP="001C01F1">
      <w:pPr>
        <w:pStyle w:val="ListParagraph"/>
        <w:numPr>
          <w:ilvl w:val="0"/>
          <w:numId w:val="30"/>
        </w:numPr>
        <w:spacing w:before="0" w:line="270" w:lineRule="atLeast"/>
        <w:rPr>
          <w:rFonts w:ascii="Arial" w:hAnsi="Arial"/>
        </w:rPr>
      </w:pPr>
      <w:r w:rsidRPr="00587EE1">
        <w:rPr>
          <w:rFonts w:ascii="Arial" w:hAnsi="Arial"/>
        </w:rPr>
        <w:t>Improved workforce experience and safety</w:t>
      </w:r>
    </w:p>
    <w:p w14:paraId="62722113" w14:textId="77777777" w:rsidR="001C01F1" w:rsidRPr="00587EE1" w:rsidRDefault="001C01F1" w:rsidP="001C01F1">
      <w:pPr>
        <w:pStyle w:val="ListParagraph"/>
        <w:numPr>
          <w:ilvl w:val="0"/>
          <w:numId w:val="30"/>
        </w:numPr>
        <w:spacing w:before="0" w:line="270" w:lineRule="atLeast"/>
        <w:rPr>
          <w:rFonts w:ascii="Arial" w:hAnsi="Arial"/>
        </w:rPr>
      </w:pPr>
      <w:r w:rsidRPr="00587EE1">
        <w:rPr>
          <w:rFonts w:ascii="Arial" w:hAnsi="Arial"/>
        </w:rPr>
        <w:t>Improved regional communities and economies</w:t>
      </w:r>
      <w:r>
        <w:rPr>
          <w:rFonts w:ascii="Arial" w:hAnsi="Arial"/>
        </w:rPr>
        <w:t>.</w:t>
      </w:r>
    </w:p>
    <w:p w14:paraId="4F6BC76B" w14:textId="77777777" w:rsidR="001C01F1" w:rsidRDefault="001C01F1" w:rsidP="001C01F1">
      <w:pPr>
        <w:pStyle w:val="ListParagraph"/>
        <w:numPr>
          <w:ilvl w:val="0"/>
          <w:numId w:val="29"/>
        </w:numPr>
        <w:spacing w:before="0" w:line="270" w:lineRule="atLeast"/>
      </w:pPr>
      <w:r>
        <w:t>A detailed description and understanding of the project risks / dependencies and the associated mitigation actions.</w:t>
      </w:r>
    </w:p>
    <w:p w14:paraId="74CE34D3" w14:textId="77777777" w:rsidR="001C01F1" w:rsidRDefault="001C01F1" w:rsidP="001C01F1">
      <w:pPr>
        <w:pStyle w:val="ListParagraph"/>
        <w:numPr>
          <w:ilvl w:val="0"/>
          <w:numId w:val="29"/>
        </w:numPr>
        <w:spacing w:before="0" w:line="270" w:lineRule="atLeast"/>
      </w:pPr>
      <w:r>
        <w:t>A detailed description of the governance and project monitoring activities and</w:t>
      </w:r>
    </w:p>
    <w:p w14:paraId="25CD8481" w14:textId="77777777" w:rsidR="001C01F1" w:rsidRDefault="001C01F1" w:rsidP="001C01F1">
      <w:pPr>
        <w:pStyle w:val="ListParagraph"/>
        <w:numPr>
          <w:ilvl w:val="0"/>
          <w:numId w:val="29"/>
        </w:numPr>
        <w:spacing w:before="0" w:line="270" w:lineRule="atLeast"/>
      </w:pPr>
      <w:r>
        <w:t xml:space="preserve">Compliance with the requirements detailed in these guidelines. </w:t>
      </w:r>
    </w:p>
    <w:p w14:paraId="58611A76" w14:textId="77777777" w:rsidR="001C01F1" w:rsidRDefault="001C01F1" w:rsidP="00677281">
      <w:pPr>
        <w:pStyle w:val="Heading2"/>
        <w:numPr>
          <w:ilvl w:val="0"/>
          <w:numId w:val="0"/>
        </w:numPr>
        <w:rPr>
          <w:sz w:val="24"/>
          <w:szCs w:val="24"/>
        </w:rPr>
      </w:pPr>
      <w:bookmarkStart w:id="90" w:name="_Toc217317828"/>
      <w:bookmarkStart w:id="91" w:name="_Toc217405491"/>
      <w:r w:rsidRPr="4FF56658">
        <w:rPr>
          <w:rFonts w:eastAsia="Arial"/>
          <w:sz w:val="24"/>
          <w:szCs w:val="24"/>
        </w:rPr>
        <w:t>Table 3: Assessment criteria</w:t>
      </w:r>
      <w:bookmarkEnd w:id="90"/>
      <w:bookmarkEnd w:id="91"/>
    </w:p>
    <w:tbl>
      <w:tblPr>
        <w:tblW w:w="9629"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50"/>
        <w:gridCol w:w="6945"/>
        <w:gridCol w:w="1134"/>
      </w:tblGrid>
      <w:tr w:rsidR="001C01F1" w14:paraId="13FB8537" w14:textId="77777777" w:rsidTr="00F85AFC">
        <w:trPr>
          <w:trHeight w:val="300"/>
        </w:trPr>
        <w:tc>
          <w:tcPr>
            <w:tcW w:w="1550" w:type="dxa"/>
            <w:tcBorders>
              <w:top w:val="single" w:sz="8" w:space="0" w:color="auto"/>
              <w:left w:val="single" w:sz="8" w:space="0" w:color="auto"/>
              <w:bottom w:val="single" w:sz="8" w:space="0" w:color="auto"/>
              <w:right w:val="single" w:sz="8" w:space="0" w:color="auto"/>
            </w:tcBorders>
            <w:shd w:val="clear" w:color="auto" w:fill="850024" w:themeFill="text2"/>
            <w:vAlign w:val="center"/>
          </w:tcPr>
          <w:p w14:paraId="2040F34A" w14:textId="77777777" w:rsidR="001C01F1" w:rsidRDefault="001C01F1" w:rsidP="00F85AFC">
            <w:r w:rsidRPr="498824B0">
              <w:rPr>
                <w:rFonts w:ascii="Arial" w:eastAsia="Arial" w:hAnsi="Arial" w:cs="Arial"/>
                <w:color w:val="DAB3BD" w:themeColor="background2"/>
              </w:rPr>
              <w:t xml:space="preserve">Criteria </w:t>
            </w:r>
          </w:p>
        </w:tc>
        <w:tc>
          <w:tcPr>
            <w:tcW w:w="6945" w:type="dxa"/>
            <w:tcBorders>
              <w:top w:val="single" w:sz="8" w:space="0" w:color="auto"/>
              <w:left w:val="single" w:sz="8" w:space="0" w:color="auto"/>
              <w:bottom w:val="single" w:sz="8" w:space="0" w:color="auto"/>
              <w:right w:val="single" w:sz="8" w:space="0" w:color="auto"/>
            </w:tcBorders>
            <w:shd w:val="clear" w:color="auto" w:fill="850024" w:themeFill="text2"/>
            <w:vAlign w:val="center"/>
          </w:tcPr>
          <w:p w14:paraId="76C2303A" w14:textId="77777777" w:rsidR="001C01F1" w:rsidRDefault="001C01F1" w:rsidP="00F85AFC">
            <w:r w:rsidRPr="498824B0">
              <w:rPr>
                <w:rFonts w:ascii="Arial" w:eastAsia="Arial" w:hAnsi="Arial" w:cs="Arial"/>
                <w:color w:val="DAB3BD" w:themeColor="background2"/>
              </w:rPr>
              <w:t xml:space="preserve">Description </w:t>
            </w:r>
          </w:p>
        </w:tc>
        <w:tc>
          <w:tcPr>
            <w:tcW w:w="1134" w:type="dxa"/>
            <w:tcBorders>
              <w:top w:val="single" w:sz="8" w:space="0" w:color="auto"/>
              <w:left w:val="single" w:sz="8" w:space="0" w:color="auto"/>
              <w:bottom w:val="single" w:sz="8" w:space="0" w:color="auto"/>
              <w:right w:val="single" w:sz="8" w:space="0" w:color="auto"/>
            </w:tcBorders>
            <w:shd w:val="clear" w:color="auto" w:fill="850024" w:themeFill="text2"/>
            <w:vAlign w:val="center"/>
          </w:tcPr>
          <w:p w14:paraId="12C112D1" w14:textId="77777777" w:rsidR="001C01F1" w:rsidRDefault="001C01F1" w:rsidP="00F85AFC">
            <w:r>
              <w:rPr>
                <w:rFonts w:ascii="Arial" w:eastAsia="Arial" w:hAnsi="Arial" w:cs="Arial"/>
                <w:color w:val="DAB3BD" w:themeColor="background2"/>
              </w:rPr>
              <w:t>Weighting</w:t>
            </w:r>
            <w:r w:rsidRPr="498824B0">
              <w:rPr>
                <w:rFonts w:ascii="Arial" w:eastAsia="Arial" w:hAnsi="Arial" w:cs="Arial"/>
                <w:color w:val="DAB3BD" w:themeColor="background2"/>
              </w:rPr>
              <w:t xml:space="preserve"> </w:t>
            </w:r>
          </w:p>
        </w:tc>
      </w:tr>
      <w:tr w:rsidR="001C01F1" w14:paraId="6600E163" w14:textId="77777777" w:rsidTr="00F85AFC">
        <w:trPr>
          <w:trHeight w:val="1755"/>
        </w:trPr>
        <w:tc>
          <w:tcPr>
            <w:tcW w:w="1550" w:type="dxa"/>
            <w:tcBorders>
              <w:top w:val="single" w:sz="8" w:space="0" w:color="auto"/>
              <w:left w:val="single" w:sz="8" w:space="0" w:color="auto"/>
              <w:bottom w:val="single" w:sz="8" w:space="0" w:color="auto"/>
              <w:right w:val="single" w:sz="8" w:space="0" w:color="auto"/>
            </w:tcBorders>
            <w:vAlign w:val="center"/>
          </w:tcPr>
          <w:p w14:paraId="333245AE" w14:textId="77777777" w:rsidR="001C01F1" w:rsidRDefault="001C01F1" w:rsidP="00F85AFC">
            <w:pPr>
              <w:jc w:val="center"/>
            </w:pPr>
            <w:r w:rsidRPr="001E51A6">
              <w:t xml:space="preserve"> </w:t>
            </w:r>
            <w:r w:rsidRPr="001E51A6">
              <w:rPr>
                <w:rFonts w:ascii="Arial" w:eastAsia="Arial" w:hAnsi="Arial" w:cs="Arial"/>
              </w:rPr>
              <w:t>Strategic alignment</w:t>
            </w:r>
          </w:p>
        </w:tc>
        <w:tc>
          <w:tcPr>
            <w:tcW w:w="6945" w:type="dxa"/>
            <w:tcBorders>
              <w:top w:val="nil"/>
              <w:left w:val="single" w:sz="8" w:space="0" w:color="auto"/>
              <w:bottom w:val="single" w:sz="8" w:space="0" w:color="auto"/>
              <w:right w:val="single" w:sz="8" w:space="0" w:color="auto"/>
            </w:tcBorders>
            <w:vAlign w:val="center"/>
          </w:tcPr>
          <w:p w14:paraId="2AA7EE9E" w14:textId="77777777" w:rsidR="001C01F1" w:rsidRPr="00DB295D" w:rsidRDefault="001C01F1" w:rsidP="001C01F1">
            <w:pPr>
              <w:pStyle w:val="ListParagraph"/>
              <w:numPr>
                <w:ilvl w:val="0"/>
                <w:numId w:val="31"/>
              </w:numPr>
              <w:spacing w:before="0" w:line="270" w:lineRule="atLeast"/>
              <w:ind w:left="318" w:hanging="284"/>
            </w:pPr>
            <w:r w:rsidRPr="001E51A6">
              <w:t>Alignment with government commitments and policies – e.g. Health Service Plan</w:t>
            </w:r>
          </w:p>
          <w:p w14:paraId="0779E50A" w14:textId="77777777" w:rsidR="001C01F1" w:rsidRPr="00DB295D" w:rsidRDefault="001C01F1" w:rsidP="001C01F1">
            <w:pPr>
              <w:pStyle w:val="ListParagraph"/>
              <w:numPr>
                <w:ilvl w:val="0"/>
                <w:numId w:val="31"/>
              </w:numPr>
              <w:spacing w:before="0" w:line="270" w:lineRule="atLeast"/>
              <w:ind w:left="318" w:hanging="284"/>
            </w:pPr>
            <w:r w:rsidRPr="001E51A6">
              <w:t>Alignment with:</w:t>
            </w:r>
          </w:p>
          <w:p w14:paraId="6A54689A" w14:textId="77777777" w:rsidR="001C01F1" w:rsidRDefault="001C01F1" w:rsidP="001C01F1">
            <w:pPr>
              <w:pStyle w:val="ListParagraph"/>
              <w:numPr>
                <w:ilvl w:val="1"/>
                <w:numId w:val="31"/>
              </w:numPr>
              <w:spacing w:before="0" w:line="270" w:lineRule="atLeast"/>
              <w:ind w:left="601" w:hanging="141"/>
            </w:pPr>
            <w:r>
              <w:t>Strategic plan</w:t>
            </w:r>
          </w:p>
          <w:p w14:paraId="433DD016" w14:textId="77777777" w:rsidR="001C01F1" w:rsidRDefault="001C01F1" w:rsidP="001C01F1">
            <w:pPr>
              <w:pStyle w:val="ListParagraph"/>
              <w:numPr>
                <w:ilvl w:val="1"/>
                <w:numId w:val="31"/>
              </w:numPr>
              <w:spacing w:before="0" w:line="270" w:lineRule="atLeast"/>
              <w:ind w:left="601" w:hanging="141"/>
            </w:pPr>
            <w:r>
              <w:t>Statement of priorities</w:t>
            </w:r>
          </w:p>
          <w:p w14:paraId="3564A44D" w14:textId="77777777" w:rsidR="001C01F1" w:rsidRDefault="001C01F1" w:rsidP="001C01F1">
            <w:pPr>
              <w:pStyle w:val="ListParagraph"/>
              <w:numPr>
                <w:ilvl w:val="1"/>
                <w:numId w:val="31"/>
              </w:numPr>
              <w:spacing w:before="0" w:after="0" w:line="270" w:lineRule="atLeast"/>
              <w:ind w:left="601" w:hanging="141"/>
            </w:pPr>
            <w:r>
              <w:t>Service plan and master plan (where relevant).</w:t>
            </w:r>
          </w:p>
          <w:p w14:paraId="70FFDC4F" w14:textId="77777777" w:rsidR="001C01F1" w:rsidRDefault="001C01F1" w:rsidP="001C01F1">
            <w:pPr>
              <w:pStyle w:val="ListParagraph"/>
              <w:numPr>
                <w:ilvl w:val="1"/>
                <w:numId w:val="31"/>
              </w:numPr>
              <w:spacing w:before="0" w:after="0" w:line="270" w:lineRule="atLeast"/>
              <w:ind w:left="601" w:hanging="141"/>
            </w:pPr>
            <w:r w:rsidRPr="4FF56658">
              <w:t xml:space="preserve">Aboriginal </w:t>
            </w:r>
            <w:r w:rsidRPr="001E51A6">
              <w:t>Health and Wellbeing Partnership Agreement (AHWPA)</w:t>
            </w:r>
          </w:p>
        </w:tc>
        <w:tc>
          <w:tcPr>
            <w:tcW w:w="1134" w:type="dxa"/>
            <w:tcBorders>
              <w:top w:val="nil"/>
              <w:left w:val="single" w:sz="8" w:space="0" w:color="auto"/>
              <w:bottom w:val="single" w:sz="8" w:space="0" w:color="auto"/>
              <w:right w:val="single" w:sz="8" w:space="0" w:color="auto"/>
            </w:tcBorders>
          </w:tcPr>
          <w:p w14:paraId="22B3C7B3" w14:textId="77777777" w:rsidR="001C01F1" w:rsidRDefault="001C01F1" w:rsidP="00F85AFC">
            <w:pPr>
              <w:jc w:val="center"/>
            </w:pPr>
            <w:r>
              <w:t>20%</w:t>
            </w:r>
          </w:p>
        </w:tc>
      </w:tr>
      <w:tr w:rsidR="001C01F1" w14:paraId="0D92311D" w14:textId="77777777" w:rsidTr="00F85AFC">
        <w:trPr>
          <w:trHeight w:val="1875"/>
        </w:trPr>
        <w:tc>
          <w:tcPr>
            <w:tcW w:w="1550" w:type="dxa"/>
            <w:tcBorders>
              <w:top w:val="single" w:sz="8" w:space="0" w:color="auto"/>
              <w:left w:val="single" w:sz="8" w:space="0" w:color="auto"/>
              <w:bottom w:val="single" w:sz="4" w:space="0" w:color="000000" w:themeColor="text1"/>
              <w:right w:val="single" w:sz="8" w:space="0" w:color="auto"/>
            </w:tcBorders>
            <w:vAlign w:val="center"/>
          </w:tcPr>
          <w:p w14:paraId="4AD3781E" w14:textId="77777777" w:rsidR="001C01F1" w:rsidRDefault="001C01F1" w:rsidP="00F85AFC">
            <w:pPr>
              <w:jc w:val="center"/>
            </w:pPr>
            <w:r w:rsidRPr="498824B0">
              <w:rPr>
                <w:rFonts w:ascii="Arial" w:eastAsia="Arial" w:hAnsi="Arial" w:cs="Arial"/>
              </w:rPr>
              <w:t xml:space="preserve"> </w:t>
            </w:r>
            <w:r>
              <w:rPr>
                <w:rFonts w:ascii="Arial" w:eastAsia="Arial" w:hAnsi="Arial" w:cs="Arial"/>
              </w:rPr>
              <w:t>Healthcare quality and safety improvement</w:t>
            </w:r>
          </w:p>
        </w:tc>
        <w:tc>
          <w:tcPr>
            <w:tcW w:w="6945" w:type="dxa"/>
            <w:tcBorders>
              <w:top w:val="single" w:sz="8" w:space="0" w:color="auto"/>
              <w:left w:val="single" w:sz="8" w:space="0" w:color="auto"/>
              <w:bottom w:val="single" w:sz="4" w:space="0" w:color="000000" w:themeColor="text1"/>
              <w:right w:val="single" w:sz="8" w:space="0" w:color="auto"/>
            </w:tcBorders>
            <w:vAlign w:val="center"/>
          </w:tcPr>
          <w:p w14:paraId="2DB3F8FB" w14:textId="77777777" w:rsidR="001C01F1" w:rsidRPr="00DB295D" w:rsidRDefault="001C01F1" w:rsidP="00F85AFC">
            <w:pPr>
              <w:spacing w:after="0"/>
            </w:pPr>
            <w:r>
              <w:rPr>
                <w:rFonts w:ascii="Arial" w:eastAsia="Arial" w:hAnsi="Arial" w:cs="Arial"/>
              </w:rPr>
              <w:t>Addresses one or more of the following:</w:t>
            </w:r>
          </w:p>
          <w:p w14:paraId="6C63861B" w14:textId="77777777" w:rsidR="001C01F1" w:rsidRDefault="001C01F1" w:rsidP="001C01F1">
            <w:pPr>
              <w:pStyle w:val="ListParagraph"/>
              <w:numPr>
                <w:ilvl w:val="0"/>
                <w:numId w:val="31"/>
              </w:numPr>
              <w:spacing w:before="0" w:after="0" w:line="270" w:lineRule="atLeast"/>
              <w:ind w:left="318" w:hanging="284"/>
              <w:rPr>
                <w:rFonts w:ascii="Arial" w:eastAsia="Arial" w:hAnsi="Arial" w:cs="Arial"/>
              </w:rPr>
            </w:pPr>
            <w:r>
              <w:rPr>
                <w:rFonts w:ascii="Arial" w:eastAsia="Arial" w:hAnsi="Arial" w:cs="Arial"/>
              </w:rPr>
              <w:t>Regulatory compliance</w:t>
            </w:r>
          </w:p>
          <w:p w14:paraId="411C9A3E" w14:textId="77777777" w:rsidR="001C01F1" w:rsidRDefault="001C01F1" w:rsidP="001C01F1">
            <w:pPr>
              <w:pStyle w:val="ListParagraph"/>
              <w:numPr>
                <w:ilvl w:val="0"/>
                <w:numId w:val="31"/>
              </w:numPr>
              <w:spacing w:before="0" w:line="270" w:lineRule="atLeast"/>
              <w:ind w:left="318" w:hanging="284"/>
              <w:rPr>
                <w:rFonts w:ascii="Arial" w:eastAsia="Arial" w:hAnsi="Arial" w:cs="Arial"/>
              </w:rPr>
            </w:pPr>
            <w:r>
              <w:rPr>
                <w:rFonts w:ascii="Arial" w:eastAsia="Arial" w:hAnsi="Arial" w:cs="Arial"/>
              </w:rPr>
              <w:t>Standards compliance</w:t>
            </w:r>
          </w:p>
          <w:p w14:paraId="01560DAD" w14:textId="77777777" w:rsidR="001C01F1" w:rsidRDefault="001C01F1" w:rsidP="001C01F1">
            <w:pPr>
              <w:pStyle w:val="ListParagraph"/>
              <w:numPr>
                <w:ilvl w:val="0"/>
                <w:numId w:val="31"/>
              </w:numPr>
              <w:spacing w:before="0" w:line="270" w:lineRule="atLeast"/>
              <w:ind w:left="318" w:hanging="284"/>
              <w:rPr>
                <w:rFonts w:ascii="Arial" w:eastAsia="Arial" w:hAnsi="Arial" w:cs="Arial"/>
              </w:rPr>
            </w:pPr>
            <w:r>
              <w:rPr>
                <w:rFonts w:ascii="Arial" w:eastAsia="Arial" w:hAnsi="Arial" w:cs="Arial"/>
              </w:rPr>
              <w:t>Patient and staff amenity</w:t>
            </w:r>
          </w:p>
          <w:p w14:paraId="5D574E75" w14:textId="77777777" w:rsidR="001C01F1" w:rsidRDefault="001C01F1" w:rsidP="001C01F1">
            <w:pPr>
              <w:pStyle w:val="ListParagraph"/>
              <w:numPr>
                <w:ilvl w:val="0"/>
                <w:numId w:val="31"/>
              </w:numPr>
              <w:spacing w:before="0" w:line="270" w:lineRule="atLeast"/>
              <w:ind w:left="318" w:hanging="284"/>
              <w:rPr>
                <w:rFonts w:ascii="Arial" w:eastAsia="Arial" w:hAnsi="Arial" w:cs="Arial"/>
              </w:rPr>
            </w:pPr>
            <w:r>
              <w:rPr>
                <w:rFonts w:ascii="Arial" w:eastAsia="Arial" w:hAnsi="Arial" w:cs="Arial"/>
              </w:rPr>
              <w:t>Safety, quality</w:t>
            </w:r>
          </w:p>
          <w:p w14:paraId="7969C993" w14:textId="77777777" w:rsidR="001C01F1" w:rsidRPr="00E94061" w:rsidRDefault="001C01F1" w:rsidP="001C01F1">
            <w:pPr>
              <w:pStyle w:val="ListParagraph"/>
              <w:numPr>
                <w:ilvl w:val="0"/>
                <w:numId w:val="31"/>
              </w:numPr>
              <w:spacing w:before="0" w:after="0" w:line="270" w:lineRule="atLeast"/>
              <w:ind w:left="318" w:hanging="284"/>
              <w:rPr>
                <w:rFonts w:ascii="Arial" w:eastAsia="Arial" w:hAnsi="Arial" w:cs="Arial"/>
              </w:rPr>
            </w:pPr>
            <w:r>
              <w:rPr>
                <w:rFonts w:ascii="Arial" w:eastAsia="Arial" w:hAnsi="Arial" w:cs="Arial"/>
              </w:rPr>
              <w:t>Risk.</w:t>
            </w:r>
          </w:p>
        </w:tc>
        <w:tc>
          <w:tcPr>
            <w:tcW w:w="1134" w:type="dxa"/>
            <w:tcBorders>
              <w:top w:val="single" w:sz="8" w:space="0" w:color="auto"/>
              <w:left w:val="single" w:sz="8" w:space="0" w:color="auto"/>
              <w:bottom w:val="single" w:sz="4" w:space="0" w:color="000000" w:themeColor="text1"/>
              <w:right w:val="single" w:sz="8" w:space="0" w:color="auto"/>
            </w:tcBorders>
          </w:tcPr>
          <w:p w14:paraId="6A67075B" w14:textId="77777777" w:rsidR="001C01F1" w:rsidRDefault="001C01F1" w:rsidP="00F85AFC">
            <w:pPr>
              <w:jc w:val="center"/>
            </w:pPr>
            <w:r>
              <w:t>70%</w:t>
            </w:r>
          </w:p>
        </w:tc>
      </w:tr>
      <w:tr w:rsidR="001C01F1" w14:paraId="4F7BCDA5" w14:textId="77777777" w:rsidTr="00F85AFC">
        <w:trPr>
          <w:trHeight w:val="300"/>
        </w:trPr>
        <w:tc>
          <w:tcPr>
            <w:tcW w:w="1550" w:type="dxa"/>
            <w:tcBorders>
              <w:top w:val="single" w:sz="4" w:space="0" w:color="000000" w:themeColor="text1"/>
              <w:left w:val="single" w:sz="8" w:space="0" w:color="auto"/>
              <w:bottom w:val="single" w:sz="4" w:space="0" w:color="auto"/>
              <w:right w:val="single" w:sz="8" w:space="0" w:color="auto"/>
            </w:tcBorders>
            <w:vAlign w:val="center"/>
          </w:tcPr>
          <w:p w14:paraId="3C72CD19" w14:textId="77777777" w:rsidR="001C01F1" w:rsidRDefault="001C01F1" w:rsidP="00F85AFC">
            <w:pPr>
              <w:jc w:val="center"/>
            </w:pPr>
            <w:r>
              <w:rPr>
                <w:rFonts w:ascii="Arial" w:eastAsia="Arial" w:hAnsi="Arial" w:cs="Arial"/>
              </w:rPr>
              <w:t>Service efficiency and demand pressure</w:t>
            </w:r>
          </w:p>
        </w:tc>
        <w:tc>
          <w:tcPr>
            <w:tcW w:w="6945" w:type="dxa"/>
            <w:tcBorders>
              <w:top w:val="single" w:sz="4" w:space="0" w:color="000000" w:themeColor="text1"/>
              <w:left w:val="single" w:sz="8" w:space="0" w:color="auto"/>
              <w:bottom w:val="single" w:sz="4" w:space="0" w:color="auto"/>
              <w:right w:val="single" w:sz="8" w:space="0" w:color="auto"/>
            </w:tcBorders>
            <w:vAlign w:val="center"/>
          </w:tcPr>
          <w:p w14:paraId="1B330E54" w14:textId="77777777" w:rsidR="001C01F1" w:rsidRPr="00DB295D" w:rsidRDefault="001C01F1" w:rsidP="00F85AFC">
            <w:pPr>
              <w:spacing w:after="0"/>
            </w:pPr>
            <w:r>
              <w:rPr>
                <w:rFonts w:ascii="Arial" w:eastAsia="Arial" w:hAnsi="Arial" w:cs="Arial"/>
              </w:rPr>
              <w:t>Addresses one or more of the following:</w:t>
            </w:r>
          </w:p>
          <w:p w14:paraId="10B9629E" w14:textId="77777777" w:rsidR="001C01F1" w:rsidRDefault="001C01F1" w:rsidP="001C01F1">
            <w:pPr>
              <w:pStyle w:val="ListParagraph"/>
              <w:numPr>
                <w:ilvl w:val="0"/>
                <w:numId w:val="31"/>
              </w:numPr>
              <w:spacing w:before="0" w:line="270" w:lineRule="atLeast"/>
              <w:ind w:left="318" w:hanging="284"/>
              <w:rPr>
                <w:rFonts w:ascii="Arial" w:eastAsia="Arial" w:hAnsi="Arial" w:cs="Arial"/>
              </w:rPr>
            </w:pPr>
            <w:r w:rsidRPr="71BBB938">
              <w:rPr>
                <w:rFonts w:ascii="Arial" w:eastAsia="Arial" w:hAnsi="Arial" w:cs="Arial"/>
              </w:rPr>
              <w:t xml:space="preserve">Service capacity (for example improved service options, reduced service fragmentation) </w:t>
            </w:r>
          </w:p>
          <w:p w14:paraId="3309006C" w14:textId="77777777" w:rsidR="001C01F1" w:rsidRDefault="001C01F1" w:rsidP="001C01F1">
            <w:pPr>
              <w:pStyle w:val="ListParagraph"/>
              <w:numPr>
                <w:ilvl w:val="0"/>
                <w:numId w:val="31"/>
              </w:numPr>
              <w:spacing w:before="0" w:line="270" w:lineRule="atLeast"/>
              <w:ind w:left="318" w:hanging="284"/>
              <w:rPr>
                <w:rFonts w:ascii="Arial" w:eastAsia="Arial" w:hAnsi="Arial" w:cs="Arial"/>
              </w:rPr>
            </w:pPr>
            <w:r>
              <w:rPr>
                <w:rFonts w:ascii="Arial" w:eastAsia="Arial" w:hAnsi="Arial" w:cs="Arial"/>
              </w:rPr>
              <w:t>Demand pressure</w:t>
            </w:r>
          </w:p>
          <w:p w14:paraId="7B61EB79" w14:textId="77777777" w:rsidR="001C01F1" w:rsidRDefault="001C01F1" w:rsidP="001C01F1">
            <w:pPr>
              <w:pStyle w:val="ListParagraph"/>
              <w:numPr>
                <w:ilvl w:val="0"/>
                <w:numId w:val="31"/>
              </w:numPr>
              <w:spacing w:before="0" w:line="270" w:lineRule="atLeast"/>
              <w:ind w:left="318" w:hanging="284"/>
              <w:rPr>
                <w:rFonts w:ascii="Arial" w:eastAsia="Arial" w:hAnsi="Arial" w:cs="Arial"/>
              </w:rPr>
            </w:pPr>
            <w:r>
              <w:rPr>
                <w:rFonts w:ascii="Arial" w:eastAsia="Arial" w:hAnsi="Arial" w:cs="Arial"/>
              </w:rPr>
              <w:lastRenderedPageBreak/>
              <w:t>Models of care (for example contemporary models of care / improved services closer to home)</w:t>
            </w:r>
          </w:p>
          <w:p w14:paraId="769382A8" w14:textId="77777777" w:rsidR="001C01F1" w:rsidRDefault="001C01F1" w:rsidP="001C01F1">
            <w:pPr>
              <w:pStyle w:val="ListParagraph"/>
              <w:numPr>
                <w:ilvl w:val="0"/>
                <w:numId w:val="31"/>
              </w:numPr>
              <w:spacing w:before="0" w:line="270" w:lineRule="atLeast"/>
              <w:ind w:left="318" w:hanging="284"/>
              <w:rPr>
                <w:rFonts w:ascii="Arial" w:eastAsia="Arial" w:hAnsi="Arial" w:cs="Arial"/>
              </w:rPr>
            </w:pPr>
            <w:r>
              <w:rPr>
                <w:rFonts w:ascii="Arial" w:eastAsia="Arial" w:hAnsi="Arial" w:cs="Arial"/>
              </w:rPr>
              <w:t>Service efficiency of targeted services</w:t>
            </w:r>
          </w:p>
          <w:p w14:paraId="1408510F" w14:textId="77777777" w:rsidR="001C01F1" w:rsidRDefault="001C01F1" w:rsidP="001C01F1">
            <w:pPr>
              <w:pStyle w:val="ListParagraph"/>
              <w:numPr>
                <w:ilvl w:val="0"/>
                <w:numId w:val="31"/>
              </w:numPr>
              <w:spacing w:before="0" w:line="270" w:lineRule="atLeast"/>
              <w:ind w:left="318" w:hanging="284"/>
              <w:rPr>
                <w:rFonts w:ascii="Arial" w:eastAsia="Arial" w:hAnsi="Arial" w:cs="Arial"/>
              </w:rPr>
            </w:pPr>
            <w:r w:rsidRPr="71BBB938">
              <w:rPr>
                <w:rFonts w:ascii="Arial" w:eastAsia="Arial" w:hAnsi="Arial" w:cs="Arial"/>
              </w:rPr>
              <w:t>Efficiency (for example new infrastructure, equipment and technology)</w:t>
            </w:r>
          </w:p>
          <w:p w14:paraId="1E1A60D4" w14:textId="77777777" w:rsidR="001C01F1" w:rsidRPr="00C02794" w:rsidRDefault="001C01F1" w:rsidP="001C01F1">
            <w:pPr>
              <w:pStyle w:val="ListParagraph"/>
              <w:numPr>
                <w:ilvl w:val="0"/>
                <w:numId w:val="31"/>
              </w:numPr>
              <w:spacing w:before="0" w:line="270" w:lineRule="atLeast"/>
              <w:ind w:left="318" w:hanging="284"/>
              <w:rPr>
                <w:rFonts w:ascii="Arial" w:eastAsia="Arial" w:hAnsi="Arial" w:cs="Arial"/>
              </w:rPr>
            </w:pPr>
            <w:r>
              <w:rPr>
                <w:rFonts w:ascii="Arial" w:eastAsia="Arial" w:hAnsi="Arial" w:cs="Arial"/>
              </w:rPr>
              <w:t>Health care improvement to your health service.</w:t>
            </w:r>
          </w:p>
        </w:tc>
        <w:tc>
          <w:tcPr>
            <w:tcW w:w="1134" w:type="dxa"/>
            <w:tcBorders>
              <w:top w:val="single" w:sz="4" w:space="0" w:color="000000" w:themeColor="text1"/>
              <w:left w:val="single" w:sz="8" w:space="0" w:color="auto"/>
              <w:bottom w:val="single" w:sz="4" w:space="0" w:color="auto"/>
              <w:right w:val="single" w:sz="8" w:space="0" w:color="auto"/>
            </w:tcBorders>
          </w:tcPr>
          <w:p w14:paraId="75015737" w14:textId="77777777" w:rsidR="001C01F1" w:rsidRDefault="001C01F1" w:rsidP="00F85AFC">
            <w:pPr>
              <w:jc w:val="center"/>
            </w:pPr>
            <w:r>
              <w:lastRenderedPageBreak/>
              <w:t>10%</w:t>
            </w:r>
          </w:p>
        </w:tc>
      </w:tr>
      <w:tr w:rsidR="001C01F1" w14:paraId="6C91214B" w14:textId="77777777" w:rsidTr="00F85AFC">
        <w:trPr>
          <w:trHeight w:val="300"/>
        </w:trPr>
        <w:tc>
          <w:tcPr>
            <w:tcW w:w="1550" w:type="dxa"/>
            <w:tcBorders>
              <w:top w:val="single" w:sz="4" w:space="0" w:color="auto"/>
              <w:left w:val="single" w:sz="8" w:space="0" w:color="auto"/>
              <w:bottom w:val="single" w:sz="8" w:space="0" w:color="auto"/>
              <w:right w:val="single" w:sz="8" w:space="0" w:color="auto"/>
            </w:tcBorders>
            <w:vAlign w:val="center"/>
          </w:tcPr>
          <w:p w14:paraId="5B8D05BC" w14:textId="77777777" w:rsidR="001C01F1" w:rsidRDefault="001C01F1" w:rsidP="00F85AFC">
            <w:pPr>
              <w:jc w:val="center"/>
              <w:rPr>
                <w:rFonts w:ascii="Arial" w:eastAsia="Arial" w:hAnsi="Arial" w:cs="Arial"/>
              </w:rPr>
            </w:pPr>
            <w:r>
              <w:rPr>
                <w:rFonts w:ascii="Arial" w:eastAsia="Arial" w:hAnsi="Arial" w:cs="Arial"/>
              </w:rPr>
              <w:t>Project readiness</w:t>
            </w:r>
          </w:p>
        </w:tc>
        <w:tc>
          <w:tcPr>
            <w:tcW w:w="6945" w:type="dxa"/>
            <w:tcBorders>
              <w:top w:val="single" w:sz="4" w:space="0" w:color="auto"/>
              <w:left w:val="single" w:sz="8" w:space="0" w:color="auto"/>
              <w:bottom w:val="single" w:sz="8" w:space="0" w:color="auto"/>
              <w:right w:val="single" w:sz="8" w:space="0" w:color="auto"/>
            </w:tcBorders>
            <w:vAlign w:val="center"/>
          </w:tcPr>
          <w:p w14:paraId="4C21F27C" w14:textId="77777777" w:rsidR="001C01F1" w:rsidRPr="00AA390B" w:rsidRDefault="001C01F1" w:rsidP="00F85AFC">
            <w:pPr>
              <w:rPr>
                <w:rFonts w:ascii="Arial" w:eastAsia="Arial" w:hAnsi="Arial" w:cs="Arial"/>
              </w:rPr>
            </w:pPr>
            <w:r w:rsidRPr="71BBB938">
              <w:rPr>
                <w:rFonts w:ascii="Arial" w:eastAsia="Arial" w:hAnsi="Arial" w:cs="Arial"/>
              </w:rPr>
              <w:t>Organisational readiness to implement the project, including key milestones and timeframe for completion. Relevant supporting documentation as outlined in the submission requirements section of this document must be provided.</w:t>
            </w:r>
          </w:p>
          <w:p w14:paraId="4D605C2F" w14:textId="77777777" w:rsidR="001C01F1" w:rsidRDefault="001C01F1" w:rsidP="00F85AFC">
            <w:r w:rsidRPr="71BBB938">
              <w:rPr>
                <w:rFonts w:ascii="Arial" w:eastAsia="Arial" w:hAnsi="Arial" w:cs="Arial"/>
              </w:rPr>
              <w:t>All project dependencies must be listed including their potential impact on the project cost, schedule, scope and benefits</w:t>
            </w:r>
          </w:p>
        </w:tc>
        <w:tc>
          <w:tcPr>
            <w:tcW w:w="1134" w:type="dxa"/>
            <w:tcBorders>
              <w:top w:val="single" w:sz="4" w:space="0" w:color="auto"/>
              <w:left w:val="single" w:sz="8" w:space="0" w:color="auto"/>
              <w:bottom w:val="single" w:sz="8" w:space="0" w:color="auto"/>
              <w:right w:val="single" w:sz="8" w:space="0" w:color="auto"/>
            </w:tcBorders>
          </w:tcPr>
          <w:p w14:paraId="04BD4873" w14:textId="77777777" w:rsidR="001C01F1" w:rsidRDefault="001C01F1" w:rsidP="00F85AFC">
            <w:pPr>
              <w:jc w:val="center"/>
            </w:pPr>
            <w:r w:rsidRPr="71BBB938">
              <w:t>Projects will be assessed as ready, partially ready or not ready</w:t>
            </w:r>
          </w:p>
        </w:tc>
      </w:tr>
      <w:tr w:rsidR="001C01F1" w14:paraId="21773DA5" w14:textId="77777777" w:rsidTr="00F85AFC">
        <w:trPr>
          <w:trHeight w:val="300"/>
        </w:trPr>
        <w:tc>
          <w:tcPr>
            <w:tcW w:w="1550" w:type="dxa"/>
            <w:tcBorders>
              <w:top w:val="single" w:sz="8" w:space="0" w:color="auto"/>
              <w:left w:val="single" w:sz="8" w:space="0" w:color="auto"/>
              <w:bottom w:val="single" w:sz="8" w:space="0" w:color="auto"/>
              <w:right w:val="single" w:sz="8" w:space="0" w:color="auto"/>
            </w:tcBorders>
            <w:vAlign w:val="center"/>
          </w:tcPr>
          <w:p w14:paraId="16B718F5" w14:textId="77777777" w:rsidR="001C01F1" w:rsidRDefault="001C01F1" w:rsidP="00F85AFC">
            <w:pPr>
              <w:jc w:val="center"/>
            </w:pPr>
            <w:r>
              <w:rPr>
                <w:rFonts w:ascii="Arial" w:eastAsia="Arial" w:hAnsi="Arial" w:cs="Arial"/>
              </w:rPr>
              <w:t>Governance</w:t>
            </w:r>
          </w:p>
        </w:tc>
        <w:tc>
          <w:tcPr>
            <w:tcW w:w="6945" w:type="dxa"/>
            <w:tcBorders>
              <w:top w:val="single" w:sz="8" w:space="0" w:color="auto"/>
              <w:left w:val="single" w:sz="8" w:space="0" w:color="auto"/>
              <w:bottom w:val="single" w:sz="8" w:space="0" w:color="auto"/>
              <w:right w:val="single" w:sz="8" w:space="0" w:color="auto"/>
            </w:tcBorders>
            <w:vAlign w:val="center"/>
          </w:tcPr>
          <w:p w14:paraId="09453943" w14:textId="77777777" w:rsidR="001C01F1" w:rsidRPr="00562DBD" w:rsidRDefault="001C01F1" w:rsidP="00F85AFC">
            <w:pPr>
              <w:rPr>
                <w:rFonts w:ascii="Arial" w:eastAsia="Arial" w:hAnsi="Arial" w:cs="Arial"/>
              </w:rPr>
            </w:pPr>
            <w:r w:rsidRPr="71BBB938">
              <w:rPr>
                <w:rFonts w:ascii="Arial" w:eastAsia="Arial" w:hAnsi="Arial" w:cs="Arial"/>
              </w:rPr>
              <w:t>The degree to which health service/agency governance structures and processes are in place to oversee the proposed project development, implementation, monitoring and reporting.</w:t>
            </w:r>
          </w:p>
          <w:p w14:paraId="3FB2730A" w14:textId="77777777" w:rsidR="001C01F1" w:rsidRDefault="001C01F1" w:rsidP="00F85AFC">
            <w:r w:rsidRPr="00562DBD">
              <w:rPr>
                <w:rFonts w:ascii="Arial" w:eastAsia="Arial" w:hAnsi="Arial" w:cs="Arial"/>
              </w:rPr>
              <w:t>This relates to the governance framework supporting transparency, probity and accountability relating to the delivery of this proposal.</w:t>
            </w:r>
          </w:p>
        </w:tc>
        <w:tc>
          <w:tcPr>
            <w:tcW w:w="1134" w:type="dxa"/>
            <w:tcBorders>
              <w:top w:val="single" w:sz="8" w:space="0" w:color="auto"/>
              <w:left w:val="single" w:sz="8" w:space="0" w:color="auto"/>
              <w:bottom w:val="single" w:sz="8" w:space="0" w:color="auto"/>
              <w:right w:val="single" w:sz="8" w:space="0" w:color="auto"/>
            </w:tcBorders>
          </w:tcPr>
          <w:p w14:paraId="3BF42D36" w14:textId="77777777" w:rsidR="001C01F1" w:rsidRDefault="001C01F1" w:rsidP="00F85AFC">
            <w:pPr>
              <w:jc w:val="center"/>
            </w:pPr>
            <w:r w:rsidRPr="71BBB938">
              <w:t>Projects will be assessed as ready, partially ready or not ready</w:t>
            </w:r>
          </w:p>
        </w:tc>
      </w:tr>
    </w:tbl>
    <w:p w14:paraId="7684B24A" w14:textId="77777777" w:rsidR="001C01F1" w:rsidRDefault="001C01F1" w:rsidP="001C01F1">
      <w:pPr>
        <w:rPr>
          <w:rFonts w:ascii="Arial" w:eastAsia="Arial" w:hAnsi="Arial" w:cs="Arial"/>
        </w:rPr>
      </w:pPr>
    </w:p>
    <w:p w14:paraId="5BB8A86F" w14:textId="77777777" w:rsidR="001C01F1" w:rsidRPr="00986791" w:rsidRDefault="001C01F1" w:rsidP="001C01F1">
      <w:pPr>
        <w:rPr>
          <w:rFonts w:eastAsia="Arial" w:cs="Arial"/>
        </w:rPr>
      </w:pPr>
      <w:r w:rsidRPr="00986791">
        <w:rPr>
          <w:rFonts w:eastAsia="Arial" w:cs="Arial"/>
        </w:rPr>
        <w:t>The outcomes of the mandatory Project readiness and Governance assessment criteria can influence the overall success of the application to receive funding.</w:t>
      </w:r>
    </w:p>
    <w:p w14:paraId="5622855C" w14:textId="77777777" w:rsidR="001C01F1" w:rsidRPr="00986791" w:rsidRDefault="001C01F1" w:rsidP="001C01F1">
      <w:r w:rsidRPr="00986791">
        <w:rPr>
          <w:rFonts w:eastAsia="Arial" w:cs="Arial"/>
        </w:rPr>
        <w:t>Note: Submissions with a primary focus or benefit relating to “</w:t>
      </w:r>
      <w:r w:rsidRPr="00986791">
        <w:t>Respond to Growing Demand/Capability” will be considered lower priority.</w:t>
      </w:r>
    </w:p>
    <w:p w14:paraId="05630EDD" w14:textId="77777777" w:rsidR="001C01F1" w:rsidRPr="008D1755" w:rsidRDefault="001C01F1" w:rsidP="00677281">
      <w:pPr>
        <w:pStyle w:val="Heading2"/>
        <w:numPr>
          <w:ilvl w:val="0"/>
          <w:numId w:val="0"/>
        </w:numPr>
      </w:pPr>
      <w:bookmarkStart w:id="92" w:name="_Toc103767397"/>
      <w:bookmarkStart w:id="93" w:name="_Toc103767440"/>
      <w:bookmarkStart w:id="94" w:name="_Toc104970634"/>
      <w:bookmarkStart w:id="95" w:name="_Toc105427754"/>
      <w:bookmarkStart w:id="96" w:name="_Toc217317829"/>
      <w:bookmarkStart w:id="97" w:name="_Toc217405492"/>
      <w:r>
        <w:t>Buildability of capital/construction projects</w:t>
      </w:r>
      <w:bookmarkEnd w:id="92"/>
      <w:bookmarkEnd w:id="93"/>
      <w:bookmarkEnd w:id="94"/>
      <w:bookmarkEnd w:id="95"/>
      <w:bookmarkEnd w:id="96"/>
      <w:bookmarkEnd w:id="97"/>
      <w:r>
        <w:t xml:space="preserve"> </w:t>
      </w:r>
    </w:p>
    <w:p w14:paraId="443DF21A" w14:textId="77777777" w:rsidR="001C01F1" w:rsidRPr="008D1755" w:rsidRDefault="001C01F1" w:rsidP="001C01F1">
      <w:r w:rsidRPr="71BBB938">
        <w:t>For submissions involving a construction element greater than $2.0 million, VHBA may undertake an evaluation of buildability and constructability to be undertaken by an independent consultant to confirm viability.</w:t>
      </w:r>
    </w:p>
    <w:p w14:paraId="177DA3AB" w14:textId="77777777" w:rsidR="001C01F1" w:rsidRPr="008D1755" w:rsidRDefault="001C01F1" w:rsidP="001C01F1">
      <w:r w:rsidRPr="008D1755">
        <w:t xml:space="preserve">VHBA may require </w:t>
      </w:r>
      <w:r>
        <w:t>the health service</w:t>
      </w:r>
      <w:r w:rsidRPr="008D1755">
        <w:t xml:space="preserve"> to meet or discuss the details of the proposal or respond to other Requests for Information during the evaluation period.</w:t>
      </w:r>
      <w:r>
        <w:t xml:space="preserve"> </w:t>
      </w:r>
      <w:r w:rsidRPr="008D1755">
        <w:t xml:space="preserve">The detail and responsiveness of the </w:t>
      </w:r>
      <w:r>
        <w:t>health service</w:t>
      </w:r>
      <w:r w:rsidRPr="008D1755">
        <w:t xml:space="preserve"> will be important for VHBA assessment of each proposal.</w:t>
      </w:r>
    </w:p>
    <w:p w14:paraId="49FC90E4" w14:textId="77777777" w:rsidR="001C01F1" w:rsidRPr="008D1755" w:rsidRDefault="001C01F1" w:rsidP="005B7DF4">
      <w:pPr>
        <w:pStyle w:val="Heading2"/>
        <w:numPr>
          <w:ilvl w:val="0"/>
          <w:numId w:val="0"/>
        </w:numPr>
      </w:pPr>
      <w:bookmarkStart w:id="98" w:name="_Toc104970635"/>
      <w:bookmarkStart w:id="99" w:name="_Toc105427755"/>
      <w:bookmarkStart w:id="100" w:name="_Toc217317830"/>
      <w:bookmarkStart w:id="101" w:name="_Toc217405493"/>
      <w:r>
        <w:t>Su</w:t>
      </w:r>
      <w:r w:rsidRPr="00381E40">
        <w:t>stainability</w:t>
      </w:r>
      <w:bookmarkEnd w:id="98"/>
      <w:bookmarkEnd w:id="99"/>
      <w:bookmarkEnd w:id="100"/>
      <w:bookmarkEnd w:id="101"/>
    </w:p>
    <w:p w14:paraId="794F5663" w14:textId="77777777" w:rsidR="001C01F1" w:rsidRPr="008D1755" w:rsidRDefault="001C01F1" w:rsidP="001C01F1">
      <w:r w:rsidRPr="71BBB938">
        <w:t xml:space="preserve">Climate change represents a fundamental threat to public health. Victoria is already experiencing significant impacts from events which are becoming more frequent and intense as a result of climate change. Therefore, it is critical that the health sector plays a central role in driving action on climate change, seeking solutions and supporting the community to adapt to its impacts. </w:t>
      </w:r>
    </w:p>
    <w:p w14:paraId="73B212D1" w14:textId="77777777" w:rsidR="001C01F1" w:rsidRPr="008D1755" w:rsidRDefault="001C01F1" w:rsidP="001C01F1">
      <w:r w:rsidRPr="71BBB938">
        <w:t xml:space="preserve">Delivering sustainable and resilient buildings promotes better patient outcomes, higher employee satisfaction and productivity, lowers operating costs and emissions, and ensures the building is operational at all times to ensure fair and timely access to healthcare. </w:t>
      </w:r>
    </w:p>
    <w:p w14:paraId="1188C9B3" w14:textId="77777777" w:rsidR="001C01F1" w:rsidRPr="008D1755" w:rsidRDefault="001C01F1" w:rsidP="001C01F1">
      <w:r w:rsidRPr="008D1755">
        <w:t>In line with VHBA’s requirements for capital projects, minimum sustainability requirements and opportunities to support enhanced initiatives have been implemented in the 202</w:t>
      </w:r>
      <w:r w:rsidR="002A122F">
        <w:t>5</w:t>
      </w:r>
      <w:r w:rsidRPr="008D1755">
        <w:t>-202</w:t>
      </w:r>
      <w:r w:rsidR="002A122F">
        <w:t>6</w:t>
      </w:r>
      <w:r w:rsidRPr="008D1755">
        <w:t xml:space="preserve"> RHIF funding round. In summary this: </w:t>
      </w:r>
    </w:p>
    <w:p w14:paraId="47AE8F8D" w14:textId="77777777" w:rsidR="001C01F1" w:rsidRPr="008D1755" w:rsidRDefault="001C01F1" w:rsidP="001C01F1">
      <w:pPr>
        <w:pStyle w:val="VHBAbullet1"/>
        <w:ind w:left="397" w:hanging="397"/>
      </w:pPr>
      <w:r w:rsidRPr="71BBB938">
        <w:lastRenderedPageBreak/>
        <w:t>requires health services to complete a sustainability business-as-usual checklist and include in their SmartyGrants submissions to show compliance with minimum requirements</w:t>
      </w:r>
    </w:p>
    <w:p w14:paraId="0EC5DE8E" w14:textId="77777777" w:rsidR="001C01F1" w:rsidRPr="008D1755" w:rsidRDefault="001C01F1" w:rsidP="001C01F1">
      <w:pPr>
        <w:pStyle w:val="VHBAbullet1"/>
        <w:ind w:left="397" w:hanging="397"/>
      </w:pPr>
      <w:r w:rsidRPr="008D1755">
        <w:t>requires construction projects over $5m to include a budget of 2.5</w:t>
      </w:r>
      <w:r>
        <w:t xml:space="preserve"> per cent</w:t>
      </w:r>
      <w:r w:rsidRPr="008D1755">
        <w:t xml:space="preserve"> of total construction cost for enhanced sustainability initiatives in their cost plan</w:t>
      </w:r>
    </w:p>
    <w:p w14:paraId="57F7A841" w14:textId="77777777" w:rsidR="001C01F1" w:rsidRPr="008D1755" w:rsidRDefault="001C01F1" w:rsidP="001C01F1">
      <w:pPr>
        <w:pStyle w:val="VHBAbullet1"/>
        <w:ind w:left="397" w:hanging="397"/>
      </w:pPr>
      <w:r w:rsidRPr="71BBB938">
        <w:t xml:space="preserve">allows health services to access up to 2.5 per cent of total construction cost for enhanced sustainability initiatives for projects up to $5m, where the project demonstrates the benefit of additional investment. </w:t>
      </w:r>
    </w:p>
    <w:p w14:paraId="52FEA811" w14:textId="77777777" w:rsidR="001C01F1" w:rsidRDefault="001C01F1" w:rsidP="001C01F1">
      <w:pPr>
        <w:pStyle w:val="VHBAbodyafterbullets"/>
      </w:pPr>
      <w:r w:rsidRPr="71BBB938">
        <w:t xml:space="preserve">Refer to the </w:t>
      </w:r>
      <w:r w:rsidRPr="71BBB938">
        <w:rPr>
          <w:i/>
          <w:iCs/>
        </w:rPr>
        <w:t>Sustainability frequently asked questions</w:t>
      </w:r>
      <w:r w:rsidRPr="71BBB938">
        <w:t xml:space="preserve"> (FAQs) in Appendix </w:t>
      </w:r>
      <w:r w:rsidR="00986791">
        <w:t>C</w:t>
      </w:r>
      <w:r w:rsidRPr="71BBB938">
        <w:t xml:space="preserve"> for more guidance regarding sustainability requirements and opportunities for your project.</w:t>
      </w:r>
    </w:p>
    <w:p w14:paraId="0E8287F1" w14:textId="77777777" w:rsidR="001C01F1" w:rsidRPr="008D1755" w:rsidRDefault="001C01F1" w:rsidP="005B7DF4">
      <w:pPr>
        <w:pStyle w:val="Heading1"/>
        <w:numPr>
          <w:ilvl w:val="0"/>
          <w:numId w:val="0"/>
        </w:numPr>
        <w:ind w:left="1021" w:hanging="1021"/>
      </w:pPr>
      <w:bookmarkStart w:id="102" w:name="_Toc103767398"/>
      <w:bookmarkStart w:id="103" w:name="_Toc103767441"/>
      <w:bookmarkStart w:id="104" w:name="_Toc104970636"/>
      <w:bookmarkStart w:id="105" w:name="_Toc105427756"/>
      <w:bookmarkStart w:id="106" w:name="_Toc217317831"/>
      <w:bookmarkStart w:id="107" w:name="_Toc217405494"/>
      <w:r>
        <w:t>Conditions of funding</w:t>
      </w:r>
      <w:bookmarkEnd w:id="102"/>
      <w:bookmarkEnd w:id="103"/>
      <w:bookmarkEnd w:id="104"/>
      <w:bookmarkEnd w:id="105"/>
      <w:bookmarkEnd w:id="106"/>
      <w:bookmarkEnd w:id="107"/>
    </w:p>
    <w:p w14:paraId="40A5F461" w14:textId="77777777" w:rsidR="001C01F1" w:rsidRPr="00986791" w:rsidRDefault="001C01F1" w:rsidP="00C769FA">
      <w:pPr>
        <w:pStyle w:val="ListParagraph"/>
        <w:numPr>
          <w:ilvl w:val="0"/>
          <w:numId w:val="35"/>
        </w:numPr>
        <w:spacing w:before="0" w:line="270" w:lineRule="atLeast"/>
        <w:rPr>
          <w:rFonts w:cs="Arial"/>
        </w:rPr>
      </w:pPr>
      <w:r w:rsidRPr="00986791">
        <w:rPr>
          <w:rFonts w:cs="Arial"/>
        </w:rPr>
        <w:t xml:space="preserve">The funds that will be provided are based on approved project scope as identified within the funding approval letter. </w:t>
      </w:r>
    </w:p>
    <w:p w14:paraId="399D002F" w14:textId="77777777" w:rsidR="001C01F1" w:rsidRPr="00986791" w:rsidRDefault="001C01F1" w:rsidP="00C769FA">
      <w:pPr>
        <w:pStyle w:val="ListParagraph"/>
        <w:numPr>
          <w:ilvl w:val="0"/>
          <w:numId w:val="35"/>
        </w:numPr>
        <w:spacing w:before="0" w:line="270" w:lineRule="atLeast"/>
        <w:rPr>
          <w:rFonts w:cs="Arial"/>
        </w:rPr>
      </w:pPr>
      <w:r w:rsidRPr="00986791">
        <w:rPr>
          <w:rFonts w:cs="Arial"/>
        </w:rPr>
        <w:t>Funds are provided only for the approved project and scope including generic type, functionality, and number of items in the approved allocation and must not be used for any other purpose.</w:t>
      </w:r>
    </w:p>
    <w:p w14:paraId="571CE7D6" w14:textId="77777777" w:rsidR="001C01F1" w:rsidRPr="00986791" w:rsidRDefault="001C01F1" w:rsidP="00C769FA">
      <w:pPr>
        <w:pStyle w:val="ListParagraph"/>
        <w:numPr>
          <w:ilvl w:val="0"/>
          <w:numId w:val="35"/>
        </w:numPr>
        <w:spacing w:before="0" w:line="270" w:lineRule="atLeast"/>
        <w:rPr>
          <w:rFonts w:cs="Arial"/>
        </w:rPr>
      </w:pPr>
      <w:r w:rsidRPr="00986791">
        <w:rPr>
          <w:rFonts w:cs="Arial"/>
        </w:rPr>
        <w:t xml:space="preserve">Any changes to scope, cost or timeframes will require departmental approval. Any increased costs associated with the project will be the responsibility of the health service. </w:t>
      </w:r>
    </w:p>
    <w:p w14:paraId="0AF6D1A4" w14:textId="77777777" w:rsidR="001C01F1" w:rsidRPr="00986791" w:rsidRDefault="001C01F1" w:rsidP="00C769FA">
      <w:pPr>
        <w:pStyle w:val="ListParagraph"/>
        <w:numPr>
          <w:ilvl w:val="0"/>
          <w:numId w:val="35"/>
        </w:numPr>
        <w:spacing w:before="0" w:line="270" w:lineRule="atLeast"/>
        <w:rPr>
          <w:rFonts w:cs="Arial"/>
        </w:rPr>
      </w:pPr>
      <w:r w:rsidRPr="00986791">
        <w:rPr>
          <w:rFonts w:cs="Arial"/>
        </w:rPr>
        <w:t>If only specific elements of a submission have been approved (partial funding), the health service/health agency must ensure that funds are used only for the approved elements.</w:t>
      </w:r>
    </w:p>
    <w:p w14:paraId="39D52C56" w14:textId="77777777" w:rsidR="001C01F1" w:rsidRPr="00986791" w:rsidRDefault="001C01F1" w:rsidP="00C769FA">
      <w:pPr>
        <w:pStyle w:val="ListParagraph"/>
        <w:numPr>
          <w:ilvl w:val="0"/>
          <w:numId w:val="35"/>
        </w:numPr>
        <w:spacing w:before="0" w:line="270" w:lineRule="atLeast"/>
        <w:rPr>
          <w:rFonts w:cs="Arial"/>
        </w:rPr>
      </w:pPr>
      <w:r w:rsidRPr="00986791">
        <w:rPr>
          <w:rFonts w:cs="Arial"/>
        </w:rPr>
        <w:t>Where projects are funded from multiple sources, and the additional source of funding is no longer available, the Victorian Government is not obliged to provide any additional funding.</w:t>
      </w:r>
    </w:p>
    <w:p w14:paraId="4212BC14" w14:textId="77777777" w:rsidR="001C01F1" w:rsidRPr="00986791" w:rsidRDefault="001C01F1" w:rsidP="00C769FA">
      <w:pPr>
        <w:pStyle w:val="ListParagraph"/>
        <w:numPr>
          <w:ilvl w:val="0"/>
          <w:numId w:val="35"/>
        </w:numPr>
        <w:spacing w:before="0" w:line="270" w:lineRule="atLeast"/>
        <w:rPr>
          <w:rFonts w:cs="Arial"/>
        </w:rPr>
      </w:pPr>
      <w:r w:rsidRPr="00986791">
        <w:rPr>
          <w:rFonts w:cs="Arial"/>
        </w:rPr>
        <w:t>Funding provided for any nominated asset(s) must be expended by a health service/health agency in accordance with the notification letter.</w:t>
      </w:r>
    </w:p>
    <w:p w14:paraId="63C62720" w14:textId="77777777" w:rsidR="001C01F1" w:rsidRPr="00986791" w:rsidRDefault="001C01F1" w:rsidP="00C769FA">
      <w:pPr>
        <w:pStyle w:val="ListParagraph"/>
        <w:numPr>
          <w:ilvl w:val="0"/>
          <w:numId w:val="35"/>
        </w:numPr>
        <w:spacing w:before="0" w:line="270" w:lineRule="atLeast"/>
        <w:rPr>
          <w:rFonts w:cs="Arial"/>
        </w:rPr>
      </w:pPr>
      <w:r w:rsidRPr="00986791">
        <w:rPr>
          <w:rFonts w:cs="Arial"/>
        </w:rPr>
        <w:t>Applicants should demonstrate that project viability is not dependent on continuing or recurrent Victorian Government funding.</w:t>
      </w:r>
    </w:p>
    <w:p w14:paraId="43D7EAFD" w14:textId="77777777" w:rsidR="001C01F1" w:rsidRPr="00986791" w:rsidRDefault="001C01F1" w:rsidP="00C769FA">
      <w:pPr>
        <w:pStyle w:val="ListParagraph"/>
        <w:numPr>
          <w:ilvl w:val="0"/>
          <w:numId w:val="35"/>
        </w:numPr>
        <w:spacing w:before="0" w:line="270" w:lineRule="atLeast"/>
        <w:rPr>
          <w:rFonts w:cs="Arial"/>
        </w:rPr>
      </w:pPr>
      <w:r w:rsidRPr="00986791">
        <w:rPr>
          <w:rFonts w:cs="Arial"/>
        </w:rPr>
        <w:t>Capital works and equipment acquisitions shall not require any growth in recurrent funding from the department.</w:t>
      </w:r>
    </w:p>
    <w:p w14:paraId="4D5EC91F" w14:textId="77777777" w:rsidR="001C01F1" w:rsidRPr="00986791" w:rsidRDefault="001C01F1" w:rsidP="00C769FA">
      <w:pPr>
        <w:pStyle w:val="ListParagraph"/>
        <w:numPr>
          <w:ilvl w:val="0"/>
          <w:numId w:val="35"/>
        </w:numPr>
        <w:spacing w:before="0" w:line="270" w:lineRule="atLeast"/>
        <w:rPr>
          <w:rFonts w:cs="Arial"/>
        </w:rPr>
      </w:pPr>
      <w:r w:rsidRPr="00986791">
        <w:rPr>
          <w:rFonts w:cs="Arial"/>
        </w:rPr>
        <w:t>Funding is not available for projects previously funded or already approved for funding from another source.</w:t>
      </w:r>
    </w:p>
    <w:p w14:paraId="4856829A" w14:textId="77777777" w:rsidR="001C01F1" w:rsidRPr="00986791" w:rsidRDefault="001C01F1" w:rsidP="00C769FA">
      <w:pPr>
        <w:pStyle w:val="ListParagraph"/>
        <w:numPr>
          <w:ilvl w:val="0"/>
          <w:numId w:val="35"/>
        </w:numPr>
        <w:spacing w:before="0" w:line="270" w:lineRule="atLeast"/>
        <w:rPr>
          <w:rFonts w:cs="Arial"/>
        </w:rPr>
      </w:pPr>
      <w:r w:rsidRPr="00986791">
        <w:rPr>
          <w:rFonts w:cs="Arial"/>
        </w:rPr>
        <w:t>Funding is not available for items procured, or contracts entered into, prior to the date of the funding approval letter.</w:t>
      </w:r>
    </w:p>
    <w:p w14:paraId="39DD2DB4" w14:textId="77777777" w:rsidR="001C01F1" w:rsidRPr="00986791" w:rsidRDefault="001C01F1" w:rsidP="00C769FA">
      <w:pPr>
        <w:pStyle w:val="ListParagraph"/>
        <w:numPr>
          <w:ilvl w:val="0"/>
          <w:numId w:val="35"/>
        </w:numPr>
        <w:spacing w:before="0" w:line="270" w:lineRule="atLeast"/>
      </w:pPr>
      <w:r w:rsidRPr="00986791">
        <w:rPr>
          <w:rFonts w:cs="Arial"/>
        </w:rPr>
        <w:t>Final payment will be made in accordance with the Milestones and Payment criteria relevant to the approved scope identified in the funding approval letter. All non-construction projects must be completed within two (2) financial years. Construction projects must be completed within two years of contracts awarded and /or in accordance with the signed Funding Agreement</w:t>
      </w:r>
      <w:r w:rsidRPr="00986791">
        <w:t xml:space="preserve">. </w:t>
      </w:r>
    </w:p>
    <w:p w14:paraId="752F3179" w14:textId="77777777" w:rsidR="001C01F1" w:rsidRPr="00986791" w:rsidRDefault="001C01F1" w:rsidP="00C769FA">
      <w:pPr>
        <w:pStyle w:val="ListParagraph"/>
        <w:numPr>
          <w:ilvl w:val="0"/>
          <w:numId w:val="35"/>
        </w:numPr>
        <w:spacing w:before="0" w:line="270" w:lineRule="atLeast"/>
      </w:pPr>
      <w:r w:rsidRPr="00986791">
        <w:t>Health service internal administration costs are capped at 1.5% of total estimated investment (TEI).</w:t>
      </w:r>
    </w:p>
    <w:p w14:paraId="2E89DC0E" w14:textId="77777777" w:rsidR="001C01F1" w:rsidRPr="008D1755" w:rsidRDefault="001C01F1" w:rsidP="005B7DF4">
      <w:pPr>
        <w:pStyle w:val="Heading2"/>
        <w:numPr>
          <w:ilvl w:val="0"/>
          <w:numId w:val="0"/>
        </w:numPr>
      </w:pPr>
      <w:bookmarkStart w:id="108" w:name="_Toc103767399"/>
      <w:bookmarkStart w:id="109" w:name="_Toc103767442"/>
      <w:bookmarkStart w:id="110" w:name="_Toc104970637"/>
      <w:bookmarkStart w:id="111" w:name="_Toc105427757"/>
      <w:bookmarkStart w:id="112" w:name="_Toc217317832"/>
      <w:bookmarkStart w:id="113" w:name="_Toc217405495"/>
      <w:r>
        <w:t>Asset management</w:t>
      </w:r>
      <w:bookmarkEnd w:id="108"/>
      <w:bookmarkEnd w:id="109"/>
      <w:bookmarkEnd w:id="110"/>
      <w:bookmarkEnd w:id="111"/>
      <w:bookmarkEnd w:id="112"/>
      <w:bookmarkEnd w:id="113"/>
    </w:p>
    <w:p w14:paraId="79CBCA8B" w14:textId="77777777" w:rsidR="001C01F1" w:rsidRPr="00986791" w:rsidRDefault="001C01F1" w:rsidP="00CB00FD">
      <w:pPr>
        <w:numPr>
          <w:ilvl w:val="0"/>
          <w:numId w:val="35"/>
        </w:numPr>
        <w:spacing w:before="0" w:line="270" w:lineRule="atLeast"/>
        <w:rPr>
          <w:rFonts w:cs="Arial"/>
        </w:rPr>
      </w:pPr>
      <w:r w:rsidRPr="00986791">
        <w:rPr>
          <w:rFonts w:cs="Arial"/>
        </w:rPr>
        <w:t xml:space="preserve">On completion of the project, health services are required to update asset registers, maintenance and asset management plans, and provide details of the testing and commissioning plans (including for decommissioning and disposing of the item/infrastructure replaced). Similarly, ‘new’ acquisitions (outside the initiative and irrespective of the funding source) are to be included on the asset register and incorporated into future asset management planning. </w:t>
      </w:r>
    </w:p>
    <w:p w14:paraId="1A261EF3" w14:textId="77777777" w:rsidR="001C01F1" w:rsidRPr="00986791" w:rsidRDefault="001C01F1" w:rsidP="00CB00FD">
      <w:pPr>
        <w:pStyle w:val="ListParagraph"/>
        <w:numPr>
          <w:ilvl w:val="0"/>
          <w:numId w:val="35"/>
        </w:numPr>
        <w:spacing w:before="0" w:line="270" w:lineRule="atLeast"/>
        <w:rPr>
          <w:rFonts w:cs="Arial"/>
        </w:rPr>
      </w:pPr>
      <w:r w:rsidRPr="00986791">
        <w:rPr>
          <w:rFonts w:cs="Arial"/>
        </w:rPr>
        <w:t>Health services reporting on asset replacement under the initiative are required to demonstrate financial and asset accountability and reporting and investment against asset management plans for engineering infrastructure and medical equipment replacement under these programs.</w:t>
      </w:r>
    </w:p>
    <w:p w14:paraId="437E0BD8" w14:textId="77777777" w:rsidR="001C01F1" w:rsidRPr="00986791" w:rsidRDefault="001C01F1" w:rsidP="00CB00FD">
      <w:pPr>
        <w:numPr>
          <w:ilvl w:val="0"/>
          <w:numId w:val="35"/>
        </w:numPr>
        <w:spacing w:before="0" w:line="270" w:lineRule="atLeast"/>
      </w:pPr>
      <w:r w:rsidRPr="00986791">
        <w:rPr>
          <w:rFonts w:cs="Arial"/>
        </w:rPr>
        <w:t>Medical equipment items proposed must be approved by the Therapeutic Goods Administration (including any hybrid technologies) and replacement engineering infrastructure and medical equipment are to comply with Australian Standards, regulations and guidelines</w:t>
      </w:r>
      <w:r w:rsidRPr="00986791">
        <w:t>.</w:t>
      </w:r>
    </w:p>
    <w:p w14:paraId="559946D1" w14:textId="77777777" w:rsidR="001C01F1" w:rsidRPr="00986791" w:rsidRDefault="001C01F1" w:rsidP="00C769FA">
      <w:pPr>
        <w:pStyle w:val="Heading2"/>
        <w:numPr>
          <w:ilvl w:val="0"/>
          <w:numId w:val="0"/>
        </w:numPr>
        <w:rPr>
          <w:rFonts w:asciiTheme="minorHAnsi" w:hAnsiTheme="minorHAnsi"/>
        </w:rPr>
      </w:pPr>
      <w:bookmarkStart w:id="114" w:name="_Toc103767400"/>
      <w:bookmarkStart w:id="115" w:name="_Toc103767443"/>
      <w:bookmarkStart w:id="116" w:name="_Toc104970638"/>
      <w:bookmarkStart w:id="117" w:name="_Toc105427758"/>
      <w:bookmarkStart w:id="118" w:name="_Toc217317833"/>
      <w:bookmarkStart w:id="119" w:name="_Toc217405496"/>
      <w:r w:rsidRPr="00986791">
        <w:rPr>
          <w:rFonts w:asciiTheme="minorHAnsi" w:hAnsiTheme="minorHAnsi"/>
        </w:rPr>
        <w:lastRenderedPageBreak/>
        <w:t>Governance</w:t>
      </w:r>
      <w:bookmarkEnd w:id="114"/>
      <w:bookmarkEnd w:id="115"/>
      <w:bookmarkEnd w:id="116"/>
      <w:bookmarkEnd w:id="117"/>
      <w:bookmarkEnd w:id="118"/>
      <w:bookmarkEnd w:id="119"/>
    </w:p>
    <w:p w14:paraId="743EA899" w14:textId="77777777" w:rsidR="001C01F1" w:rsidRPr="00986791" w:rsidRDefault="001C01F1" w:rsidP="00CB00FD">
      <w:pPr>
        <w:numPr>
          <w:ilvl w:val="0"/>
          <w:numId w:val="35"/>
        </w:numPr>
        <w:spacing w:before="0" w:line="270" w:lineRule="atLeast"/>
      </w:pPr>
      <w:r w:rsidRPr="00986791">
        <w:t>Capital delivery under this initiative requires works program management, governance, and internal controls by health services to be consistent with capital project management policies and tailored to the scope and size of the capital expenditure program. Governance processes need to be in place to ensure procurement of the approved asset is consistent with the scope agreed and approved by the department and communicated during the procurement phase so that the purchase remains in-scope and procured within the financial year.</w:t>
      </w:r>
    </w:p>
    <w:p w14:paraId="22D6EC45" w14:textId="77777777" w:rsidR="001C01F1" w:rsidRPr="00986791" w:rsidRDefault="001C01F1" w:rsidP="00CB00FD">
      <w:pPr>
        <w:numPr>
          <w:ilvl w:val="0"/>
          <w:numId w:val="35"/>
        </w:numPr>
        <w:spacing w:before="0" w:line="270" w:lineRule="atLeast"/>
      </w:pPr>
      <w:r w:rsidRPr="00986791">
        <w:t xml:space="preserve">Submissions put forward for funding must have satisfied health service/agency governance requirements including that: </w:t>
      </w:r>
    </w:p>
    <w:p w14:paraId="2A32E21E" w14:textId="77777777" w:rsidR="001C01F1" w:rsidRPr="00986791" w:rsidRDefault="001C01F1" w:rsidP="00CB00FD">
      <w:pPr>
        <w:pStyle w:val="VHBAbullet2"/>
        <w:numPr>
          <w:ilvl w:val="0"/>
          <w:numId w:val="39"/>
        </w:numPr>
      </w:pPr>
      <w:r w:rsidRPr="00986791">
        <w:t>projects have been appropriately scoped in accordance with the program requirements</w:t>
      </w:r>
    </w:p>
    <w:p w14:paraId="7D196493" w14:textId="77777777" w:rsidR="001C01F1" w:rsidRPr="00986791" w:rsidRDefault="001C01F1" w:rsidP="00CB00FD">
      <w:pPr>
        <w:pStyle w:val="VHBAbullet2"/>
        <w:numPr>
          <w:ilvl w:val="0"/>
          <w:numId w:val="39"/>
        </w:numPr>
      </w:pPr>
      <w:r w:rsidRPr="00986791">
        <w:t>projects have the required internal personnel available to deliver the approved asset</w:t>
      </w:r>
    </w:p>
    <w:p w14:paraId="523446C6" w14:textId="77777777" w:rsidR="001C01F1" w:rsidRPr="00986791" w:rsidRDefault="001C01F1" w:rsidP="00CB00FD">
      <w:pPr>
        <w:pStyle w:val="VHBAbullet2"/>
        <w:numPr>
          <w:ilvl w:val="0"/>
          <w:numId w:val="39"/>
        </w:numPr>
      </w:pPr>
      <w:r w:rsidRPr="00986791">
        <w:t>project governance and reporting are in place for these projects</w:t>
      </w:r>
    </w:p>
    <w:p w14:paraId="3A8BFF02" w14:textId="77777777" w:rsidR="001C01F1" w:rsidRPr="00986791" w:rsidRDefault="001C01F1" w:rsidP="00CB00FD">
      <w:pPr>
        <w:numPr>
          <w:ilvl w:val="0"/>
          <w:numId w:val="35"/>
        </w:numPr>
        <w:spacing w:line="270" w:lineRule="atLeast"/>
      </w:pPr>
      <w:bookmarkStart w:id="120" w:name="_Hlk104556189"/>
      <w:bookmarkEnd w:id="120"/>
      <w:r w:rsidRPr="00986791">
        <w:t xml:space="preserve">The project(s) will be directly managed by the health service/agency/organisation in a manner that reflects departmental guidelines (Appendix </w:t>
      </w:r>
      <w:r w:rsidR="00986791">
        <w:t>B</w:t>
      </w:r>
      <w:r w:rsidRPr="00986791">
        <w:t>) relating to probity, financial reporting and project completion information.</w:t>
      </w:r>
    </w:p>
    <w:p w14:paraId="27C2CAD7" w14:textId="77777777" w:rsidR="001C01F1" w:rsidRDefault="001C01F1" w:rsidP="00C769FA">
      <w:pPr>
        <w:pStyle w:val="Heading2"/>
        <w:numPr>
          <w:ilvl w:val="0"/>
          <w:numId w:val="0"/>
        </w:numPr>
        <w:rPr>
          <w:rFonts w:ascii="Arial" w:eastAsia="Arial" w:hAnsi="Arial" w:cs="Arial"/>
        </w:rPr>
      </w:pPr>
      <w:bookmarkStart w:id="121" w:name="_Toc217317834"/>
      <w:bookmarkStart w:id="122" w:name="_Toc217405497"/>
      <w:r w:rsidRPr="3F871A60">
        <w:rPr>
          <w:rFonts w:ascii="Arial" w:eastAsia="Arial" w:hAnsi="Arial" w:cs="Arial"/>
        </w:rPr>
        <w:t>Assessment Outcome and Payment Milestones</w:t>
      </w:r>
      <w:bookmarkEnd w:id="121"/>
      <w:bookmarkEnd w:id="122"/>
    </w:p>
    <w:p w14:paraId="76EC6F25" w14:textId="77777777" w:rsidR="001C01F1" w:rsidRPr="00986791" w:rsidRDefault="001C01F1" w:rsidP="00CB00FD">
      <w:pPr>
        <w:numPr>
          <w:ilvl w:val="0"/>
          <w:numId w:val="35"/>
        </w:numPr>
        <w:spacing w:before="0" w:line="270" w:lineRule="atLeast"/>
      </w:pPr>
      <w:r w:rsidRPr="00986791">
        <w:t xml:space="preserve">All agencies will initially be informed of the outcome of their submission by email. Successful applicants will receive a letter that confirms the scope of funded works, terms of payments and delivery timeframe. This letter will be sent via SmartyGrants and will have an attachment that must be signed by the CEO and uploaded and submitted via SmartyGrants, prior to any payments being made. The letter will outline a summary of payment milestones aligned to project phases and gateways. </w:t>
      </w:r>
    </w:p>
    <w:p w14:paraId="6770E4DC" w14:textId="77777777" w:rsidR="001C01F1" w:rsidRPr="00986791" w:rsidRDefault="001C01F1" w:rsidP="00CB00FD">
      <w:pPr>
        <w:numPr>
          <w:ilvl w:val="0"/>
          <w:numId w:val="35"/>
        </w:numPr>
        <w:spacing w:before="0" w:line="270" w:lineRule="atLeast"/>
      </w:pPr>
      <w:r w:rsidRPr="00986791">
        <w:t>Following receipt of the signed letter, VHBA will need to be kept apprised of the project status to approve the allocated payments in accordance with the agreed terms and milestones. Completed and signed claim forms submitted to VHBA must include supporting invoices (and purchase orders).</w:t>
      </w:r>
    </w:p>
    <w:p w14:paraId="7108C707" w14:textId="77777777" w:rsidR="001C01F1" w:rsidRPr="00986791" w:rsidRDefault="001C01F1" w:rsidP="00CB00FD">
      <w:pPr>
        <w:numPr>
          <w:ilvl w:val="0"/>
          <w:numId w:val="35"/>
        </w:numPr>
        <w:spacing w:before="0" w:after="0" w:line="270" w:lineRule="atLeast"/>
      </w:pPr>
      <w:r w:rsidRPr="00986791">
        <w:t>For construction projects greater than $5 million, a Funding Agreement will be developed and documented in consultation between the Health Service and VHBA Asset Development and Infrastructure Advisory Services to outline the following requirements:</w:t>
      </w:r>
    </w:p>
    <w:p w14:paraId="78C84216" w14:textId="77777777" w:rsidR="001C01F1" w:rsidRPr="00986791" w:rsidRDefault="001C01F1" w:rsidP="00CB00FD">
      <w:pPr>
        <w:pStyle w:val="ListParagraph"/>
        <w:numPr>
          <w:ilvl w:val="1"/>
          <w:numId w:val="40"/>
        </w:numPr>
        <w:spacing w:before="0" w:line="270" w:lineRule="atLeast"/>
      </w:pPr>
      <w:r w:rsidRPr="00986791">
        <w:t>agreed project scope</w:t>
      </w:r>
    </w:p>
    <w:p w14:paraId="359C5196" w14:textId="77777777" w:rsidR="001C01F1" w:rsidRPr="00986791" w:rsidRDefault="001C01F1" w:rsidP="00CB00FD">
      <w:pPr>
        <w:pStyle w:val="ListParagraph"/>
        <w:numPr>
          <w:ilvl w:val="1"/>
          <w:numId w:val="40"/>
        </w:numPr>
        <w:spacing w:before="0" w:line="270" w:lineRule="atLeast"/>
      </w:pPr>
      <w:r w:rsidRPr="00986791">
        <w:t>agreed project timeframe and payment milestones</w:t>
      </w:r>
    </w:p>
    <w:p w14:paraId="48F2AA41" w14:textId="77777777" w:rsidR="001C01F1" w:rsidRPr="00986791" w:rsidRDefault="001C01F1" w:rsidP="00CB00FD">
      <w:pPr>
        <w:pStyle w:val="ListParagraph"/>
        <w:numPr>
          <w:ilvl w:val="1"/>
          <w:numId w:val="40"/>
        </w:numPr>
        <w:spacing w:before="0" w:line="270" w:lineRule="atLeast"/>
      </w:pPr>
      <w:r w:rsidRPr="00986791">
        <w:t>project governance framework and reporting requirements</w:t>
      </w:r>
    </w:p>
    <w:p w14:paraId="207A5363" w14:textId="77777777" w:rsidR="001C01F1" w:rsidRPr="00986791" w:rsidRDefault="001C01F1" w:rsidP="00CB00FD">
      <w:pPr>
        <w:pStyle w:val="ListParagraph"/>
        <w:numPr>
          <w:ilvl w:val="1"/>
          <w:numId w:val="40"/>
        </w:numPr>
        <w:spacing w:before="0" w:line="270" w:lineRule="atLeast"/>
      </w:pPr>
      <w:r w:rsidRPr="00986791">
        <w:t>confirmation that project works will be undertaken by appropriately qualified contractors in accordance with all regulations and standards applicable to the works</w:t>
      </w:r>
    </w:p>
    <w:p w14:paraId="0FDDB34B" w14:textId="77777777" w:rsidR="001C01F1" w:rsidRPr="00986791" w:rsidRDefault="001C01F1" w:rsidP="00CB00FD">
      <w:pPr>
        <w:numPr>
          <w:ilvl w:val="0"/>
          <w:numId w:val="35"/>
        </w:numPr>
        <w:spacing w:before="0" w:line="270" w:lineRule="atLeast"/>
      </w:pPr>
      <w:r w:rsidRPr="00986791">
        <w:t>Funding may be recalled by the department if projects do not proceed or are not completed in a timely manner.</w:t>
      </w:r>
    </w:p>
    <w:p w14:paraId="4733EBCF" w14:textId="77777777" w:rsidR="001C01F1" w:rsidRPr="008D1755" w:rsidRDefault="001C01F1" w:rsidP="00C769FA">
      <w:pPr>
        <w:pStyle w:val="Heading2"/>
        <w:numPr>
          <w:ilvl w:val="0"/>
          <w:numId w:val="0"/>
        </w:numPr>
      </w:pPr>
      <w:bookmarkStart w:id="123" w:name="_Toc103767402"/>
      <w:bookmarkStart w:id="124" w:name="_Toc103767445"/>
      <w:bookmarkStart w:id="125" w:name="_Toc104970640"/>
      <w:bookmarkStart w:id="126" w:name="_Toc105427760"/>
      <w:bookmarkStart w:id="127" w:name="_Toc217317835"/>
      <w:bookmarkStart w:id="128" w:name="_Toc217405498"/>
      <w:r>
        <w:t>Reporting</w:t>
      </w:r>
      <w:bookmarkEnd w:id="123"/>
      <w:bookmarkEnd w:id="124"/>
      <w:bookmarkEnd w:id="125"/>
      <w:bookmarkEnd w:id="126"/>
      <w:bookmarkEnd w:id="127"/>
      <w:bookmarkEnd w:id="128"/>
    </w:p>
    <w:p w14:paraId="2DEA3A71" w14:textId="77777777" w:rsidR="001C01F1" w:rsidRPr="00986791" w:rsidRDefault="001C01F1" w:rsidP="00CB00FD">
      <w:pPr>
        <w:numPr>
          <w:ilvl w:val="0"/>
          <w:numId w:val="35"/>
        </w:numPr>
        <w:spacing w:before="0" w:line="270" w:lineRule="atLeast"/>
      </w:pPr>
      <w:r w:rsidRPr="00986791">
        <w:t>A report on the status of the project will be provided to the department at agreed project milestones and at the completion of the project.</w:t>
      </w:r>
    </w:p>
    <w:p w14:paraId="0DD0DD84" w14:textId="77777777" w:rsidR="001C01F1" w:rsidRPr="00986791" w:rsidRDefault="001C01F1" w:rsidP="00CB00FD">
      <w:pPr>
        <w:numPr>
          <w:ilvl w:val="0"/>
          <w:numId w:val="35"/>
        </w:numPr>
        <w:spacing w:before="0" w:line="270" w:lineRule="atLeast"/>
      </w:pPr>
      <w:r w:rsidRPr="00986791">
        <w:t>Health services will be required to provide funding acquittals and monthly status reporting against milestones and liaise with their VHBA Project Manager on tender specifications and project deliverables.</w:t>
      </w:r>
    </w:p>
    <w:p w14:paraId="20CEC9FA" w14:textId="77777777" w:rsidR="001C01F1" w:rsidRPr="00986791" w:rsidRDefault="001C01F1" w:rsidP="00CB00FD">
      <w:pPr>
        <w:numPr>
          <w:ilvl w:val="0"/>
          <w:numId w:val="35"/>
        </w:numPr>
        <w:spacing w:before="0" w:line="270" w:lineRule="atLeast"/>
      </w:pPr>
      <w:r w:rsidRPr="00986791">
        <w:t>A completion report is required to be submitted. The template will be provided during the course of the project.</w:t>
      </w:r>
    </w:p>
    <w:p w14:paraId="38273810" w14:textId="77777777" w:rsidR="001C01F1" w:rsidRPr="00986791" w:rsidRDefault="001C01F1" w:rsidP="00CB00FD">
      <w:pPr>
        <w:numPr>
          <w:ilvl w:val="0"/>
          <w:numId w:val="35"/>
        </w:numPr>
        <w:spacing w:before="0" w:line="270" w:lineRule="atLeast"/>
      </w:pPr>
      <w:r w:rsidRPr="00986791">
        <w:lastRenderedPageBreak/>
        <w:t>The department must be notified if there is to be a prolonged delay in the asset procurement, installation or minor capital works.</w:t>
      </w:r>
    </w:p>
    <w:p w14:paraId="539E9926" w14:textId="77777777" w:rsidR="001C01F1" w:rsidRPr="00986791" w:rsidRDefault="001C01F1" w:rsidP="00CB00FD">
      <w:pPr>
        <w:numPr>
          <w:ilvl w:val="0"/>
          <w:numId w:val="35"/>
        </w:numPr>
        <w:spacing w:before="0" w:line="270" w:lineRule="atLeast"/>
      </w:pPr>
      <w:r w:rsidRPr="00986791">
        <w:t xml:space="preserve">For projects relating to new or replacement of assets, the Health Service, upon request, must advise the Asset Planning team within the Department the details of the new assets.  </w:t>
      </w:r>
    </w:p>
    <w:p w14:paraId="066630C2" w14:textId="77777777" w:rsidR="001C01F1" w:rsidRPr="008D1755" w:rsidRDefault="001C01F1" w:rsidP="00CB00FD">
      <w:pPr>
        <w:pStyle w:val="Heading2"/>
        <w:numPr>
          <w:ilvl w:val="0"/>
          <w:numId w:val="0"/>
        </w:numPr>
      </w:pPr>
      <w:bookmarkStart w:id="129" w:name="_Toc103767403"/>
      <w:bookmarkStart w:id="130" w:name="_Toc103767446"/>
      <w:bookmarkStart w:id="131" w:name="_Toc104970641"/>
      <w:bookmarkStart w:id="132" w:name="_Toc105427761"/>
      <w:bookmarkStart w:id="133" w:name="_Toc217317836"/>
      <w:bookmarkStart w:id="134" w:name="_Toc217405499"/>
      <w:r>
        <w:t>Procurement</w:t>
      </w:r>
      <w:bookmarkEnd w:id="129"/>
      <w:bookmarkEnd w:id="130"/>
      <w:bookmarkEnd w:id="131"/>
      <w:bookmarkEnd w:id="132"/>
      <w:bookmarkEnd w:id="133"/>
      <w:bookmarkEnd w:id="134"/>
    </w:p>
    <w:p w14:paraId="19692FD0" w14:textId="77777777" w:rsidR="001C01F1" w:rsidRPr="00986791" w:rsidRDefault="001C01F1" w:rsidP="00CB00FD">
      <w:pPr>
        <w:pStyle w:val="ListParagraph"/>
        <w:numPr>
          <w:ilvl w:val="0"/>
          <w:numId w:val="35"/>
        </w:numPr>
        <w:spacing w:before="0" w:line="270" w:lineRule="atLeast"/>
      </w:pPr>
      <w:r w:rsidRPr="00986791">
        <w:t>Any proposed changes in scope must be agreed in writing prior to purchase commitment.</w:t>
      </w:r>
    </w:p>
    <w:p w14:paraId="735BEDEA" w14:textId="77777777" w:rsidR="001C01F1" w:rsidRPr="00986791" w:rsidRDefault="001C01F1" w:rsidP="00CB00FD">
      <w:pPr>
        <w:pStyle w:val="ListParagraph"/>
        <w:numPr>
          <w:ilvl w:val="0"/>
          <w:numId w:val="35"/>
        </w:numPr>
        <w:spacing w:before="0" w:line="270" w:lineRule="atLeast"/>
      </w:pPr>
      <w:r w:rsidRPr="00986791">
        <w:t xml:space="preserve">Health services must comply with government policies and guidelines in their procurement activities including the </w:t>
      </w:r>
      <w:hyperlink r:id="rId35">
        <w:r w:rsidRPr="00986791">
          <w:rPr>
            <w:color w:val="0563C1"/>
            <w:u w:val="dotted"/>
          </w:rPr>
          <w:t>Social Procurement Framework</w:t>
        </w:r>
      </w:hyperlink>
      <w:r w:rsidRPr="00986791">
        <w:rPr>
          <w:color w:val="0563C1"/>
          <w:u w:val="dotted"/>
        </w:rPr>
        <w:t xml:space="preserve">  </w:t>
      </w:r>
      <w:r w:rsidRPr="00986791">
        <w:t xml:space="preserve">&lt;https://www.buyingfor.vic.gov.au/social-procurement-framework&gt; and Appendix </w:t>
      </w:r>
      <w:r w:rsidR="00986791">
        <w:t>B</w:t>
      </w:r>
      <w:r w:rsidRPr="00986791">
        <w:t xml:space="preserve"> (where applicable).</w:t>
      </w:r>
    </w:p>
    <w:p w14:paraId="28C3226B" w14:textId="77777777" w:rsidR="001C01F1" w:rsidRPr="00986791" w:rsidRDefault="001C01F1" w:rsidP="00CB00FD">
      <w:pPr>
        <w:pStyle w:val="ListParagraph"/>
        <w:numPr>
          <w:ilvl w:val="0"/>
          <w:numId w:val="35"/>
        </w:numPr>
        <w:spacing w:before="0" w:line="270" w:lineRule="atLeast"/>
        <w:rPr>
          <w:rFonts w:cs="Arial"/>
        </w:rPr>
      </w:pPr>
      <w:r w:rsidRPr="00986791">
        <w:rPr>
          <w:rFonts w:cs="Arial"/>
        </w:rPr>
        <w:t xml:space="preserve">The department requires health services to work collaboratively with Health Share Victoria to maximise value-for-money procurement of medical equipment or plant items and deliver the most efficient purchasing arrangements, including bulk purchasing to achieve economies of scale. For further information refer to the procurement and purchasing requirements on the Health Share Victoria website at </w:t>
      </w:r>
      <w:hyperlink r:id="rId36">
        <w:r w:rsidRPr="00986791">
          <w:rPr>
            <w:rStyle w:val="Hyperlink"/>
          </w:rPr>
          <w:t>Health Share Victoria</w:t>
        </w:r>
      </w:hyperlink>
      <w:r w:rsidRPr="00986791">
        <w:rPr>
          <w:rFonts w:cs="Arial"/>
        </w:rPr>
        <w:t xml:space="preserve"> &lt;https://healthsharevic.org.au/&gt;.</w:t>
      </w:r>
    </w:p>
    <w:p w14:paraId="610C38D0" w14:textId="77777777" w:rsidR="001C01F1" w:rsidRPr="00986791" w:rsidRDefault="001C01F1" w:rsidP="001C01F1">
      <w:pPr>
        <w:pStyle w:val="VHBAbodyafterbullets"/>
        <w:ind w:left="397"/>
      </w:pPr>
      <w:r w:rsidRPr="00986791">
        <w:t>Health services should</w:t>
      </w:r>
      <w:r w:rsidRPr="00986791">
        <w:rPr>
          <w:rFonts w:ascii="Arial" w:hAnsi="Arial" w:cs="Arial"/>
        </w:rPr>
        <w:t> </w:t>
      </w:r>
      <w:r w:rsidRPr="00986791">
        <w:t>include the use of</w:t>
      </w:r>
      <w:r w:rsidRPr="00986791">
        <w:rPr>
          <w:rFonts w:ascii="Arial" w:hAnsi="Arial" w:cs="Arial"/>
        </w:rPr>
        <w:t> </w:t>
      </w:r>
      <w:r w:rsidRPr="00986791">
        <w:t>Working</w:t>
      </w:r>
      <w:r w:rsidRPr="00986791">
        <w:rPr>
          <w:rFonts w:ascii="Arial" w:hAnsi="Arial" w:cs="Arial"/>
        </w:rPr>
        <w:t> </w:t>
      </w:r>
      <w:r w:rsidRPr="00986791">
        <w:t>for Victoria</w:t>
      </w:r>
      <w:r w:rsidRPr="00986791">
        <w:rPr>
          <w:rFonts w:ascii="Arial" w:hAnsi="Arial" w:cs="Arial"/>
        </w:rPr>
        <w:t> </w:t>
      </w:r>
      <w:r w:rsidRPr="00986791">
        <w:t>in any procurement tenders.</w:t>
      </w:r>
      <w:r w:rsidRPr="00986791">
        <w:rPr>
          <w:rFonts w:ascii="Arial" w:hAnsi="Arial" w:cs="Arial"/>
        </w:rPr>
        <w:t> </w:t>
      </w:r>
      <w:r w:rsidRPr="00986791">
        <w:t xml:space="preserve"> More information is available at</w:t>
      </w:r>
      <w:r w:rsidRPr="00986791">
        <w:rPr>
          <w:rFonts w:ascii="Arial" w:hAnsi="Arial" w:cs="Arial"/>
        </w:rPr>
        <w:t> </w:t>
      </w:r>
      <w:hyperlink r:id="rId37" w:history="1">
        <w:r w:rsidRPr="00986791">
          <w:rPr>
            <w:color w:val="0563C1"/>
            <w:u w:val="dotted"/>
          </w:rPr>
          <w:t>Working for Victoria</w:t>
        </w:r>
      </w:hyperlink>
      <w:r w:rsidRPr="00986791">
        <w:t xml:space="preserve"> &lt; https://jobs.vic.gov.au/ &gt;. </w:t>
      </w:r>
      <w:bookmarkStart w:id="135" w:name="_Toc103767404"/>
      <w:bookmarkStart w:id="136" w:name="_Toc103767447"/>
      <w:bookmarkStart w:id="137" w:name="_Toc104970642"/>
      <w:bookmarkStart w:id="138" w:name="_Toc105427762"/>
    </w:p>
    <w:p w14:paraId="2CEC6A84" w14:textId="77777777" w:rsidR="001C01F1" w:rsidRPr="008D1755" w:rsidRDefault="001C01F1" w:rsidP="00CB00FD">
      <w:pPr>
        <w:pStyle w:val="Heading2"/>
        <w:numPr>
          <w:ilvl w:val="0"/>
          <w:numId w:val="0"/>
        </w:numPr>
        <w:rPr>
          <w:rFonts w:eastAsia="MS Mincho"/>
        </w:rPr>
      </w:pPr>
      <w:bookmarkStart w:id="139" w:name="_Toc217317837"/>
      <w:bookmarkStart w:id="140" w:name="_Toc217405500"/>
      <w:r w:rsidRPr="3F871A60">
        <w:rPr>
          <w:rFonts w:eastAsia="MS Mincho"/>
        </w:rPr>
        <w:t>Disposal</w:t>
      </w:r>
      <w:bookmarkEnd w:id="135"/>
      <w:bookmarkEnd w:id="136"/>
      <w:bookmarkEnd w:id="137"/>
      <w:bookmarkEnd w:id="138"/>
      <w:bookmarkEnd w:id="139"/>
      <w:bookmarkEnd w:id="140"/>
    </w:p>
    <w:p w14:paraId="04BF1376" w14:textId="642F118B" w:rsidR="001C01F1" w:rsidRPr="00986791" w:rsidRDefault="001C01F1" w:rsidP="00CB00FD">
      <w:pPr>
        <w:pStyle w:val="ListParagraph"/>
        <w:numPr>
          <w:ilvl w:val="0"/>
          <w:numId w:val="35"/>
        </w:numPr>
        <w:spacing w:before="0" w:line="270" w:lineRule="atLeast"/>
        <w:rPr>
          <w:rFonts w:cs="Arial"/>
        </w:rPr>
      </w:pPr>
      <w:r w:rsidRPr="00986791">
        <w:rPr>
          <w:rFonts w:cs="Arial"/>
        </w:rPr>
        <w:t xml:space="preserve">Medical equipment/plant/engineering infrastructure replaced must be decommissioned and disposed of in accordance with appropriate and required standards. For further details on decommissioning and disposal refer to the Medical equipment asset management framework at </w:t>
      </w:r>
      <w:hyperlink r:id="rId38">
        <w:r w:rsidRPr="00986791">
          <w:rPr>
            <w:rFonts w:cs="Arial"/>
          </w:rPr>
          <w:t>Medical equipment and engineering infrastructure</w:t>
        </w:r>
      </w:hyperlink>
      <w:r w:rsidRPr="00986791">
        <w:rPr>
          <w:rFonts w:cs="Arial"/>
        </w:rPr>
        <w:t xml:space="preserve"> &lt;</w:t>
      </w:r>
      <w:hyperlink r:id="rId39" w:history="1">
        <w:r w:rsidRPr="005462CC">
          <w:rPr>
            <w:rStyle w:val="Hyperlink"/>
            <w:rFonts w:cs="Arial"/>
          </w:rPr>
          <w:t>https://www.health.vic.gov.au/publications/medical-equipment-asset-management-framework</w:t>
        </w:r>
      </w:hyperlink>
      <w:r w:rsidRPr="00986791">
        <w:rPr>
          <w:rFonts w:cs="Arial"/>
        </w:rPr>
        <w:t xml:space="preserve">&gt;. </w:t>
      </w:r>
    </w:p>
    <w:p w14:paraId="315A509D" w14:textId="77777777" w:rsidR="001C01F1" w:rsidRPr="00986791" w:rsidRDefault="001C01F1" w:rsidP="00CB00FD">
      <w:pPr>
        <w:pStyle w:val="ListParagraph"/>
        <w:numPr>
          <w:ilvl w:val="0"/>
          <w:numId w:val="35"/>
        </w:numPr>
        <w:spacing w:before="0" w:line="270" w:lineRule="atLeast"/>
        <w:rPr>
          <w:rFonts w:cs="Arial"/>
        </w:rPr>
      </w:pPr>
      <w:r w:rsidRPr="00986791">
        <w:rPr>
          <w:rFonts w:cs="Arial"/>
        </w:rPr>
        <w:t>The finance register, asset register, equipment and engineering registers and asset management plans will be updated by the agency for both the disposal of the replaced asset and the acquisition of the replacement asset including the date of disposal.</w:t>
      </w:r>
    </w:p>
    <w:p w14:paraId="70D35A18" w14:textId="77777777" w:rsidR="00CB00FD" w:rsidRDefault="00CB00FD">
      <w:pPr>
        <w:spacing w:before="0" w:after="160" w:line="278" w:lineRule="auto"/>
      </w:pPr>
      <w:r>
        <w:br w:type="page"/>
      </w:r>
    </w:p>
    <w:p w14:paraId="77343A5C" w14:textId="77777777" w:rsidR="00CB00FD" w:rsidRDefault="00CB00FD" w:rsidP="00A73694">
      <w:pPr>
        <w:pStyle w:val="Heading7"/>
        <w:pageBreakBefore/>
      </w:pPr>
      <w:bookmarkStart w:id="141" w:name="_Toc180119975"/>
      <w:bookmarkStart w:id="142" w:name="_Toc180126235"/>
      <w:bookmarkStart w:id="143" w:name="_Toc180126322"/>
      <w:bookmarkStart w:id="144" w:name="_Toc217405501"/>
      <w:bookmarkEnd w:id="2"/>
      <w:r>
        <w:lastRenderedPageBreak/>
        <w:t>Eligible health services</w:t>
      </w:r>
      <w:bookmarkEnd w:id="141"/>
      <w:bookmarkEnd w:id="142"/>
      <w:bookmarkEnd w:id="143"/>
      <w:bookmarkEnd w:id="144"/>
    </w:p>
    <w:tbl>
      <w:tblPr>
        <w:tblStyle w:val="TableGrid"/>
        <w:tblW w:w="0" w:type="auto"/>
        <w:tblLayout w:type="fixed"/>
        <w:tblLook w:val="04A0" w:firstRow="1" w:lastRow="0" w:firstColumn="1" w:lastColumn="0" w:noHBand="0" w:noVBand="1"/>
      </w:tblPr>
      <w:tblGrid>
        <w:gridCol w:w="3165"/>
        <w:gridCol w:w="3066"/>
        <w:gridCol w:w="3114"/>
      </w:tblGrid>
      <w:tr w:rsidR="00CB00FD" w:rsidRPr="00CB00FD" w14:paraId="5883F226" w14:textId="77777777" w:rsidTr="00CB00FD">
        <w:trPr>
          <w:trHeight w:val="527"/>
        </w:trPr>
        <w:tc>
          <w:tcPr>
            <w:tcW w:w="9345" w:type="dxa"/>
            <w:gridSpan w:val="3"/>
            <w:tcBorders>
              <w:top w:val="single" w:sz="8" w:space="0" w:color="auto"/>
              <w:left w:val="single" w:sz="8" w:space="0" w:color="auto"/>
              <w:bottom w:val="single" w:sz="8" w:space="0" w:color="auto"/>
              <w:right w:val="single" w:sz="8" w:space="0" w:color="auto"/>
            </w:tcBorders>
            <w:shd w:val="clear" w:color="auto" w:fill="C00000"/>
            <w:tcMar>
              <w:left w:w="108" w:type="dxa"/>
              <w:right w:w="108" w:type="dxa"/>
            </w:tcMar>
            <w:vAlign w:val="center"/>
          </w:tcPr>
          <w:p w14:paraId="29AFCE24" w14:textId="77777777" w:rsidR="00CB00FD" w:rsidRPr="00CB00FD" w:rsidRDefault="00CB00FD" w:rsidP="00CB00FD">
            <w:pPr>
              <w:spacing w:after="0"/>
              <w:jc w:val="center"/>
              <w:rPr>
                <w:color w:val="FFFFFF" w:themeColor="background1"/>
              </w:rPr>
            </w:pPr>
            <w:r w:rsidRPr="00CB00FD">
              <w:rPr>
                <w:color w:val="FFFFFF" w:themeColor="background1"/>
              </w:rPr>
              <w:t>These public health services and agencies are eligible to apply to the</w:t>
            </w:r>
            <w:r>
              <w:rPr>
                <w:color w:val="FFFFFF" w:themeColor="background1"/>
              </w:rPr>
              <w:t xml:space="preserve"> </w:t>
            </w:r>
            <w:r w:rsidRPr="00CB00FD">
              <w:rPr>
                <w:color w:val="FFFFFF" w:themeColor="background1"/>
              </w:rPr>
              <w:t>2025-26 Regional Health Infrastructure Fund</w:t>
            </w:r>
          </w:p>
        </w:tc>
      </w:tr>
      <w:tr w:rsidR="00CB00FD" w14:paraId="2BAF8B1F" w14:textId="77777777" w:rsidTr="00CB00FD">
        <w:trPr>
          <w:trHeight w:val="196"/>
        </w:trPr>
        <w:tc>
          <w:tcPr>
            <w:tcW w:w="9345" w:type="dxa"/>
            <w:gridSpan w:val="3"/>
            <w:tcBorders>
              <w:top w:val="single" w:sz="8" w:space="0" w:color="auto"/>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8ED890D" w14:textId="77777777" w:rsidR="00CB00FD" w:rsidRDefault="00CB00FD" w:rsidP="00CB00FD">
            <w:pPr>
              <w:pStyle w:val="Heading2"/>
              <w:numPr>
                <w:ilvl w:val="0"/>
                <w:numId w:val="0"/>
              </w:numPr>
              <w:spacing w:before="160" w:after="80"/>
              <w:jc w:val="center"/>
              <w:rPr>
                <w:rFonts w:ascii="Aptos Display" w:eastAsia="Aptos Display" w:hAnsi="Aptos Display" w:cs="Aptos Display"/>
                <w:bCs/>
                <w:color w:val="0F4761"/>
                <w:sz w:val="22"/>
                <w:szCs w:val="22"/>
              </w:rPr>
            </w:pPr>
            <w:bookmarkStart w:id="145" w:name="_Toc217317839"/>
            <w:bookmarkStart w:id="146" w:name="_Toc217405502"/>
            <w:r w:rsidRPr="17C1BCCD">
              <w:rPr>
                <w:rFonts w:ascii="Aptos Display" w:eastAsia="Aptos Display" w:hAnsi="Aptos Display" w:cs="Aptos Display"/>
                <w:bCs/>
                <w:color w:val="0F4761"/>
                <w:sz w:val="22"/>
                <w:szCs w:val="22"/>
              </w:rPr>
              <w:t>Regional (6)</w:t>
            </w:r>
            <w:bookmarkEnd w:id="145"/>
            <w:bookmarkEnd w:id="146"/>
          </w:p>
        </w:tc>
      </w:tr>
      <w:tr w:rsidR="00CB00FD" w14:paraId="2E32BB87" w14:textId="77777777" w:rsidTr="00CB00FD">
        <w:trPr>
          <w:trHeight w:val="248"/>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78DE1C" w14:textId="77777777" w:rsidR="00CB00FD" w:rsidRDefault="00CB00FD" w:rsidP="00CB00FD">
            <w:pPr>
              <w:spacing w:after="0"/>
              <w:rPr>
                <w:rFonts w:ascii="Aptos" w:eastAsia="Aptos" w:hAnsi="Aptos" w:cs="Aptos"/>
              </w:rPr>
            </w:pPr>
            <w:r w:rsidRPr="17C1BCCD">
              <w:rPr>
                <w:rFonts w:ascii="Aptos" w:eastAsia="Aptos" w:hAnsi="Aptos" w:cs="Aptos"/>
              </w:rPr>
              <w:t>Albury Wodonga Health</w:t>
            </w:r>
          </w:p>
        </w:tc>
        <w:tc>
          <w:tcPr>
            <w:tcW w:w="3066" w:type="dxa"/>
            <w:tcBorders>
              <w:top w:val="nil"/>
              <w:left w:val="single" w:sz="8" w:space="0" w:color="auto"/>
              <w:bottom w:val="single" w:sz="8" w:space="0" w:color="auto"/>
              <w:right w:val="single" w:sz="8" w:space="0" w:color="auto"/>
            </w:tcBorders>
            <w:tcMar>
              <w:left w:w="108" w:type="dxa"/>
              <w:right w:w="108" w:type="dxa"/>
            </w:tcMar>
            <w:vAlign w:val="center"/>
          </w:tcPr>
          <w:p w14:paraId="1FED9457" w14:textId="77777777" w:rsidR="00CB00FD" w:rsidRDefault="00CB00FD" w:rsidP="00CB00FD">
            <w:pPr>
              <w:spacing w:after="0"/>
              <w:rPr>
                <w:rFonts w:ascii="Aptos" w:eastAsia="Aptos" w:hAnsi="Aptos" w:cs="Aptos"/>
              </w:rPr>
            </w:pPr>
            <w:r w:rsidRPr="17C1BCCD">
              <w:rPr>
                <w:rFonts w:ascii="Aptos" w:eastAsia="Aptos" w:hAnsi="Aptos" w:cs="Aptos"/>
              </w:rPr>
              <w:t xml:space="preserve">Barwon Health </w:t>
            </w:r>
          </w:p>
        </w:tc>
        <w:tc>
          <w:tcPr>
            <w:tcW w:w="3114" w:type="dxa"/>
            <w:tcBorders>
              <w:top w:val="nil"/>
              <w:left w:val="single" w:sz="8" w:space="0" w:color="auto"/>
              <w:bottom w:val="single" w:sz="8" w:space="0" w:color="auto"/>
              <w:right w:val="single" w:sz="8" w:space="0" w:color="auto"/>
            </w:tcBorders>
            <w:tcMar>
              <w:left w:w="108" w:type="dxa"/>
              <w:right w:w="108" w:type="dxa"/>
            </w:tcMar>
            <w:vAlign w:val="center"/>
          </w:tcPr>
          <w:p w14:paraId="7860A1F9" w14:textId="77777777" w:rsidR="00CB00FD" w:rsidRDefault="00CB00FD" w:rsidP="00CB00FD">
            <w:pPr>
              <w:spacing w:after="0"/>
              <w:rPr>
                <w:rFonts w:ascii="Aptos" w:eastAsia="Aptos" w:hAnsi="Aptos" w:cs="Aptos"/>
              </w:rPr>
            </w:pPr>
            <w:r w:rsidRPr="17C1BCCD">
              <w:rPr>
                <w:rFonts w:ascii="Aptos" w:eastAsia="Aptos" w:hAnsi="Aptos" w:cs="Aptos"/>
              </w:rPr>
              <w:t xml:space="preserve">Bendigo Health </w:t>
            </w:r>
          </w:p>
        </w:tc>
      </w:tr>
      <w:tr w:rsidR="00CB00FD" w14:paraId="696DED93" w14:textId="77777777" w:rsidTr="00CB00FD">
        <w:trPr>
          <w:trHeight w:val="55"/>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50FD70" w14:textId="77777777" w:rsidR="00CB00FD" w:rsidRDefault="00CB00FD" w:rsidP="00CB00FD">
            <w:pPr>
              <w:spacing w:after="0"/>
              <w:rPr>
                <w:rFonts w:ascii="Aptos" w:eastAsia="Aptos" w:hAnsi="Aptos" w:cs="Aptos"/>
              </w:rPr>
            </w:pPr>
            <w:r w:rsidRPr="17C1BCCD">
              <w:rPr>
                <w:rFonts w:ascii="Aptos" w:eastAsia="Aptos" w:hAnsi="Aptos" w:cs="Aptos"/>
              </w:rPr>
              <w:t xml:space="preserve">Goulburn Valley Health </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1791E6" w14:textId="77777777" w:rsidR="00CB00FD" w:rsidRDefault="00CB00FD" w:rsidP="00CB00FD">
            <w:pPr>
              <w:spacing w:after="0"/>
              <w:rPr>
                <w:rFonts w:ascii="Aptos" w:eastAsia="Aptos" w:hAnsi="Aptos" w:cs="Aptos"/>
              </w:rPr>
            </w:pPr>
            <w:r w:rsidRPr="17C1BCCD">
              <w:rPr>
                <w:rFonts w:ascii="Aptos" w:eastAsia="Aptos" w:hAnsi="Aptos" w:cs="Aptos"/>
              </w:rPr>
              <w:t xml:space="preserve">Grampians Health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44E0B9" w14:textId="77777777" w:rsidR="00CB00FD" w:rsidRDefault="00CB00FD" w:rsidP="00CB00FD">
            <w:pPr>
              <w:spacing w:after="0"/>
              <w:rPr>
                <w:rFonts w:ascii="Aptos" w:eastAsia="Aptos" w:hAnsi="Aptos" w:cs="Aptos"/>
              </w:rPr>
            </w:pPr>
            <w:r w:rsidRPr="17C1BCCD">
              <w:rPr>
                <w:rFonts w:ascii="Aptos" w:eastAsia="Aptos" w:hAnsi="Aptos" w:cs="Aptos"/>
              </w:rPr>
              <w:t xml:space="preserve">Latrobe Regional Hospital </w:t>
            </w:r>
          </w:p>
        </w:tc>
      </w:tr>
      <w:tr w:rsidR="00CB00FD" w14:paraId="69780B46" w14:textId="77777777" w:rsidTr="00CB00FD">
        <w:trPr>
          <w:trHeight w:val="510"/>
        </w:trPr>
        <w:tc>
          <w:tcPr>
            <w:tcW w:w="934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400E79" w14:textId="77777777" w:rsidR="00CB00FD" w:rsidRDefault="00CB00FD" w:rsidP="00CB00FD">
            <w:pPr>
              <w:pStyle w:val="Heading2"/>
              <w:numPr>
                <w:ilvl w:val="0"/>
                <w:numId w:val="0"/>
              </w:numPr>
              <w:spacing w:before="160" w:after="80"/>
              <w:ind w:left="1305"/>
              <w:jc w:val="center"/>
              <w:rPr>
                <w:rFonts w:ascii="Aptos Display" w:eastAsia="Aptos Display" w:hAnsi="Aptos Display" w:cs="Aptos Display"/>
                <w:bCs/>
                <w:color w:val="0F4761"/>
                <w:sz w:val="22"/>
                <w:szCs w:val="22"/>
              </w:rPr>
            </w:pPr>
            <w:bookmarkStart w:id="147" w:name="_Toc217317840"/>
            <w:bookmarkStart w:id="148" w:name="_Toc217405503"/>
            <w:r w:rsidRPr="17C1BCCD">
              <w:rPr>
                <w:rFonts w:ascii="Aptos Display" w:eastAsia="Aptos Display" w:hAnsi="Aptos Display" w:cs="Aptos Display"/>
                <w:bCs/>
                <w:color w:val="0F4761"/>
                <w:sz w:val="22"/>
                <w:szCs w:val="22"/>
              </w:rPr>
              <w:t>Sub-regional (11)</w:t>
            </w:r>
            <w:bookmarkEnd w:id="147"/>
            <w:bookmarkEnd w:id="148"/>
          </w:p>
        </w:tc>
      </w:tr>
      <w:tr w:rsidR="00CB00FD" w14:paraId="095AB925"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3D557C08" w14:textId="77777777" w:rsidR="00CB00FD" w:rsidRDefault="00CB00FD" w:rsidP="00F85AFC">
            <w:pPr>
              <w:spacing w:after="0"/>
              <w:rPr>
                <w:rFonts w:ascii="Aptos" w:eastAsia="Aptos" w:hAnsi="Aptos" w:cs="Aptos"/>
              </w:rPr>
            </w:pPr>
            <w:r w:rsidRPr="17C1BCCD">
              <w:rPr>
                <w:rFonts w:ascii="Aptos" w:eastAsia="Aptos" w:hAnsi="Aptos" w:cs="Aptos"/>
              </w:rPr>
              <w:t xml:space="preserve">Bairnsdale Regional Health Service </w:t>
            </w:r>
          </w:p>
        </w:tc>
        <w:tc>
          <w:tcPr>
            <w:tcW w:w="3066" w:type="dxa"/>
            <w:tcBorders>
              <w:top w:val="nil"/>
              <w:left w:val="single" w:sz="8" w:space="0" w:color="auto"/>
              <w:bottom w:val="single" w:sz="8" w:space="0" w:color="auto"/>
              <w:right w:val="single" w:sz="8" w:space="0" w:color="auto"/>
            </w:tcBorders>
            <w:tcMar>
              <w:left w:w="108" w:type="dxa"/>
              <w:right w:w="108" w:type="dxa"/>
            </w:tcMar>
          </w:tcPr>
          <w:p w14:paraId="13842590" w14:textId="77777777" w:rsidR="00CB00FD" w:rsidRDefault="00CB00FD" w:rsidP="00CB00FD">
            <w:pPr>
              <w:spacing w:after="0"/>
              <w:rPr>
                <w:rFonts w:ascii="Aptos" w:eastAsia="Aptos" w:hAnsi="Aptos" w:cs="Aptos"/>
              </w:rPr>
            </w:pPr>
            <w:r w:rsidRPr="17C1BCCD">
              <w:rPr>
                <w:rFonts w:ascii="Aptos" w:eastAsia="Aptos" w:hAnsi="Aptos" w:cs="Aptos"/>
              </w:rPr>
              <w:t xml:space="preserve">Bass Coast Health  </w:t>
            </w:r>
          </w:p>
        </w:tc>
        <w:tc>
          <w:tcPr>
            <w:tcW w:w="3114" w:type="dxa"/>
            <w:tcBorders>
              <w:top w:val="nil"/>
              <w:left w:val="single" w:sz="8" w:space="0" w:color="auto"/>
              <w:bottom w:val="single" w:sz="8" w:space="0" w:color="auto"/>
              <w:right w:val="single" w:sz="8" w:space="0" w:color="auto"/>
            </w:tcBorders>
            <w:tcMar>
              <w:left w:w="108" w:type="dxa"/>
              <w:right w:w="108" w:type="dxa"/>
            </w:tcMar>
          </w:tcPr>
          <w:p w14:paraId="4FA1B2F1" w14:textId="77777777" w:rsidR="00CB00FD" w:rsidRDefault="00CB00FD" w:rsidP="00F85AFC">
            <w:pPr>
              <w:spacing w:after="0"/>
              <w:rPr>
                <w:rFonts w:ascii="Aptos" w:eastAsia="Aptos" w:hAnsi="Aptos" w:cs="Aptos"/>
              </w:rPr>
            </w:pPr>
            <w:r w:rsidRPr="17C1BCCD">
              <w:rPr>
                <w:rFonts w:ascii="Aptos" w:eastAsia="Aptos" w:hAnsi="Aptos" w:cs="Aptos"/>
              </w:rPr>
              <w:t xml:space="preserve">Central Gippsland Health Service </w:t>
            </w:r>
          </w:p>
        </w:tc>
      </w:tr>
      <w:tr w:rsidR="00CB00FD" w14:paraId="2DF1BD0E"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787D8200" w14:textId="77777777" w:rsidR="00CB00FD" w:rsidRDefault="00CB00FD" w:rsidP="00CB00FD">
            <w:pPr>
              <w:spacing w:after="0"/>
              <w:rPr>
                <w:rFonts w:ascii="Aptos" w:eastAsia="Aptos" w:hAnsi="Aptos" w:cs="Aptos"/>
              </w:rPr>
            </w:pPr>
            <w:r w:rsidRPr="71BBB938">
              <w:rPr>
                <w:rFonts w:ascii="Aptos" w:eastAsia="Aptos" w:hAnsi="Aptos" w:cs="Aptos"/>
              </w:rPr>
              <w:t xml:space="preserve">Dhelkaya Health </w:t>
            </w:r>
            <w:r w:rsidRPr="17C1BCCD">
              <w:rPr>
                <w:rFonts w:ascii="Aptos" w:eastAsia="Aptos" w:hAnsi="Aptos" w:cs="Aptos"/>
              </w:rPr>
              <w:t xml:space="preserve"> </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tcPr>
          <w:p w14:paraId="01F137BC" w14:textId="77777777" w:rsidR="00CB00FD" w:rsidRDefault="00CB00FD" w:rsidP="00F85AFC">
            <w:pPr>
              <w:spacing w:after="0"/>
              <w:rPr>
                <w:rFonts w:ascii="Aptos" w:eastAsia="Aptos" w:hAnsi="Aptos" w:cs="Aptos"/>
              </w:rPr>
            </w:pPr>
            <w:r w:rsidRPr="17C1BCCD">
              <w:rPr>
                <w:rFonts w:ascii="Aptos" w:eastAsia="Aptos" w:hAnsi="Aptos" w:cs="Aptos"/>
              </w:rPr>
              <w:t xml:space="preserve">Echuca Regional Health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14:paraId="1DF3D2FC" w14:textId="77777777" w:rsidR="00CB00FD" w:rsidRDefault="00CB00FD" w:rsidP="00F85AFC">
            <w:pPr>
              <w:spacing w:after="0"/>
              <w:rPr>
                <w:rFonts w:ascii="Aptos" w:eastAsia="Aptos" w:hAnsi="Aptos" w:cs="Aptos"/>
              </w:rPr>
            </w:pPr>
            <w:r w:rsidRPr="17C1BCCD">
              <w:rPr>
                <w:rFonts w:ascii="Aptos" w:eastAsia="Aptos" w:hAnsi="Aptos" w:cs="Aptos"/>
              </w:rPr>
              <w:t xml:space="preserve">Mildura Base Public Hospital </w:t>
            </w:r>
          </w:p>
        </w:tc>
      </w:tr>
      <w:tr w:rsidR="00CB00FD" w14:paraId="3053E64A"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2DEE92B6" w14:textId="77777777" w:rsidR="00CB00FD" w:rsidRDefault="00CB00FD" w:rsidP="00CB00FD">
            <w:pPr>
              <w:spacing w:after="0"/>
              <w:rPr>
                <w:rFonts w:ascii="Aptos" w:eastAsia="Aptos" w:hAnsi="Aptos" w:cs="Aptos"/>
              </w:rPr>
            </w:pPr>
            <w:r w:rsidRPr="17C1BCCD">
              <w:rPr>
                <w:rFonts w:ascii="Aptos" w:eastAsia="Aptos" w:hAnsi="Aptos" w:cs="Aptos"/>
              </w:rPr>
              <w:t xml:space="preserve">Northeast Health Wangaratta </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tcPr>
          <w:p w14:paraId="347F14AD" w14:textId="77777777" w:rsidR="00CB00FD" w:rsidRDefault="00CB00FD" w:rsidP="00F85AFC">
            <w:pPr>
              <w:spacing w:after="0"/>
              <w:rPr>
                <w:rFonts w:ascii="Aptos" w:eastAsia="Aptos" w:hAnsi="Aptos" w:cs="Aptos"/>
              </w:rPr>
            </w:pPr>
            <w:r w:rsidRPr="71BBB938">
              <w:rPr>
                <w:rFonts w:ascii="Aptos" w:eastAsia="Aptos" w:hAnsi="Aptos" w:cs="Aptos"/>
              </w:rPr>
              <w:t xml:space="preserve">South West Healthcare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14:paraId="0A491268" w14:textId="77777777" w:rsidR="00CB00FD" w:rsidRDefault="00CB00FD" w:rsidP="00F85AFC">
            <w:pPr>
              <w:spacing w:after="0"/>
              <w:rPr>
                <w:rFonts w:ascii="Aptos" w:eastAsia="Aptos" w:hAnsi="Aptos" w:cs="Aptos"/>
              </w:rPr>
            </w:pPr>
            <w:r w:rsidRPr="17C1BCCD">
              <w:rPr>
                <w:rFonts w:ascii="Aptos" w:eastAsia="Aptos" w:hAnsi="Aptos" w:cs="Aptos"/>
              </w:rPr>
              <w:t xml:space="preserve">Swan Hill District Health </w:t>
            </w:r>
          </w:p>
        </w:tc>
      </w:tr>
      <w:tr w:rsidR="00CB00FD" w14:paraId="1B990575"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1DB67BCD" w14:textId="77777777" w:rsidR="00CB00FD" w:rsidRDefault="00CB00FD" w:rsidP="00F85AFC">
            <w:pPr>
              <w:spacing w:after="0"/>
              <w:rPr>
                <w:rFonts w:ascii="Aptos" w:eastAsia="Aptos" w:hAnsi="Aptos" w:cs="Aptos"/>
              </w:rPr>
            </w:pPr>
            <w:r w:rsidRPr="17C1BCCD">
              <w:rPr>
                <w:rFonts w:ascii="Aptos" w:eastAsia="Aptos" w:hAnsi="Aptos" w:cs="Aptos"/>
              </w:rPr>
              <w:t xml:space="preserve">West Gippsland Healthcare Group </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tcPr>
          <w:p w14:paraId="7CB835EB" w14:textId="77777777" w:rsidR="00CB00FD" w:rsidRDefault="00CB00FD" w:rsidP="00F85AFC">
            <w:pPr>
              <w:spacing w:after="0"/>
              <w:rPr>
                <w:rFonts w:ascii="Aptos" w:eastAsia="Aptos" w:hAnsi="Aptos" w:cs="Aptos"/>
              </w:rPr>
            </w:pPr>
            <w:r w:rsidRPr="17C1BCCD">
              <w:rPr>
                <w:rFonts w:ascii="Aptos" w:eastAsia="Aptos" w:hAnsi="Aptos" w:cs="Aptos"/>
              </w:rPr>
              <w:t xml:space="preserve">Western District Health Service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14:paraId="41F97F64" w14:textId="77777777" w:rsidR="00CB00FD" w:rsidRDefault="00CB00FD" w:rsidP="00F85AFC">
            <w:pPr>
              <w:spacing w:after="0"/>
              <w:rPr>
                <w:rFonts w:ascii="Aptos" w:eastAsia="Aptos" w:hAnsi="Aptos" w:cs="Aptos"/>
              </w:rPr>
            </w:pPr>
            <w:r w:rsidRPr="17C1BCCD">
              <w:rPr>
                <w:rFonts w:ascii="Aptos" w:eastAsia="Aptos" w:hAnsi="Aptos" w:cs="Aptos"/>
              </w:rPr>
              <w:t xml:space="preserve"> </w:t>
            </w:r>
          </w:p>
        </w:tc>
      </w:tr>
      <w:tr w:rsidR="00CB00FD" w14:paraId="5415C4B4" w14:textId="77777777" w:rsidTr="00CB00FD">
        <w:trPr>
          <w:trHeight w:val="675"/>
        </w:trPr>
        <w:tc>
          <w:tcPr>
            <w:tcW w:w="934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732315" w14:textId="77777777" w:rsidR="00CB00FD" w:rsidRDefault="00CB00FD" w:rsidP="00CB00FD">
            <w:pPr>
              <w:pStyle w:val="Heading2"/>
              <w:numPr>
                <w:ilvl w:val="0"/>
                <w:numId w:val="0"/>
              </w:numPr>
              <w:spacing w:before="160" w:after="80"/>
              <w:ind w:left="1305"/>
              <w:jc w:val="center"/>
              <w:rPr>
                <w:rFonts w:ascii="Aptos Display" w:eastAsia="Aptos Display" w:hAnsi="Aptos Display" w:cs="Aptos Display"/>
                <w:bCs/>
                <w:color w:val="0F4761"/>
                <w:sz w:val="22"/>
                <w:szCs w:val="22"/>
              </w:rPr>
            </w:pPr>
            <w:bookmarkStart w:id="149" w:name="_Toc217317841"/>
            <w:bookmarkStart w:id="150" w:name="_Toc217405504"/>
            <w:r w:rsidRPr="17C1BCCD">
              <w:rPr>
                <w:rFonts w:ascii="Aptos Display" w:eastAsia="Aptos Display" w:hAnsi="Aptos Display" w:cs="Aptos Display"/>
                <w:bCs/>
                <w:color w:val="0F4761"/>
                <w:sz w:val="22"/>
                <w:szCs w:val="22"/>
              </w:rPr>
              <w:t>Local Health Services (7)</w:t>
            </w:r>
            <w:bookmarkEnd w:id="149"/>
            <w:bookmarkEnd w:id="150"/>
          </w:p>
        </w:tc>
      </w:tr>
      <w:tr w:rsidR="00CB00FD" w14:paraId="38D866C7"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622812B1" w14:textId="77777777" w:rsidR="00CB00FD" w:rsidRDefault="00CB00FD" w:rsidP="00CB00FD">
            <w:pPr>
              <w:spacing w:after="0"/>
              <w:rPr>
                <w:rFonts w:ascii="Aptos" w:eastAsia="Aptos" w:hAnsi="Aptos" w:cs="Aptos"/>
              </w:rPr>
            </w:pPr>
            <w:r w:rsidRPr="17C1BCCD">
              <w:rPr>
                <w:rFonts w:ascii="Aptos" w:eastAsia="Aptos" w:hAnsi="Aptos" w:cs="Aptos"/>
              </w:rPr>
              <w:t xml:space="preserve">Benalla Health </w:t>
            </w:r>
          </w:p>
        </w:tc>
        <w:tc>
          <w:tcPr>
            <w:tcW w:w="3066" w:type="dxa"/>
            <w:tcBorders>
              <w:top w:val="nil"/>
              <w:left w:val="single" w:sz="8" w:space="0" w:color="auto"/>
              <w:bottom w:val="single" w:sz="8" w:space="0" w:color="auto"/>
              <w:right w:val="single" w:sz="8" w:space="0" w:color="auto"/>
            </w:tcBorders>
            <w:tcMar>
              <w:left w:w="108" w:type="dxa"/>
              <w:right w:w="108" w:type="dxa"/>
            </w:tcMar>
          </w:tcPr>
          <w:p w14:paraId="36620052" w14:textId="77777777" w:rsidR="00CB00FD" w:rsidRDefault="00CB00FD" w:rsidP="00CB00FD">
            <w:pPr>
              <w:spacing w:after="0"/>
              <w:rPr>
                <w:rFonts w:ascii="Aptos" w:eastAsia="Aptos" w:hAnsi="Aptos" w:cs="Aptos"/>
              </w:rPr>
            </w:pPr>
            <w:r w:rsidRPr="17C1BCCD">
              <w:rPr>
                <w:rFonts w:ascii="Aptos" w:eastAsia="Aptos" w:hAnsi="Aptos" w:cs="Aptos"/>
              </w:rPr>
              <w:t xml:space="preserve">Colac Area Health </w:t>
            </w:r>
          </w:p>
        </w:tc>
        <w:tc>
          <w:tcPr>
            <w:tcW w:w="3114" w:type="dxa"/>
            <w:tcBorders>
              <w:top w:val="nil"/>
              <w:left w:val="single" w:sz="8" w:space="0" w:color="auto"/>
              <w:bottom w:val="single" w:sz="8" w:space="0" w:color="auto"/>
              <w:right w:val="single" w:sz="8" w:space="0" w:color="auto"/>
            </w:tcBorders>
            <w:tcMar>
              <w:left w:w="108" w:type="dxa"/>
              <w:right w:w="108" w:type="dxa"/>
            </w:tcMar>
          </w:tcPr>
          <w:p w14:paraId="68B31278" w14:textId="77777777" w:rsidR="00CB00FD" w:rsidRDefault="00CB00FD" w:rsidP="00F85AFC">
            <w:pPr>
              <w:spacing w:after="0"/>
              <w:rPr>
                <w:rFonts w:ascii="Aptos" w:eastAsia="Aptos" w:hAnsi="Aptos" w:cs="Aptos"/>
              </w:rPr>
            </w:pPr>
            <w:r w:rsidRPr="17C1BCCD">
              <w:rPr>
                <w:rFonts w:ascii="Aptos" w:eastAsia="Aptos" w:hAnsi="Aptos" w:cs="Aptos"/>
              </w:rPr>
              <w:t xml:space="preserve">East Grampians Health Service </w:t>
            </w:r>
          </w:p>
        </w:tc>
      </w:tr>
      <w:tr w:rsidR="00CB00FD" w14:paraId="2E52537B"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60EBAA52" w14:textId="77777777" w:rsidR="00CB00FD" w:rsidRDefault="00CB00FD" w:rsidP="00F85AFC">
            <w:pPr>
              <w:spacing w:after="0"/>
              <w:rPr>
                <w:rFonts w:ascii="Aptos" w:eastAsia="Aptos" w:hAnsi="Aptos" w:cs="Aptos"/>
              </w:rPr>
            </w:pPr>
            <w:r w:rsidRPr="17C1BCCD">
              <w:rPr>
                <w:rFonts w:ascii="Aptos" w:eastAsia="Aptos" w:hAnsi="Aptos" w:cs="Aptos"/>
              </w:rPr>
              <w:t xml:space="preserve">Gippsland Southern Health Service </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tcPr>
          <w:p w14:paraId="4BF1F750" w14:textId="77777777" w:rsidR="00CB00FD" w:rsidRDefault="00CB00FD" w:rsidP="00F85AFC">
            <w:pPr>
              <w:spacing w:after="0"/>
              <w:rPr>
                <w:rFonts w:ascii="Aptos" w:eastAsia="Aptos" w:hAnsi="Aptos" w:cs="Aptos"/>
              </w:rPr>
            </w:pPr>
            <w:r w:rsidRPr="17C1BCCD">
              <w:rPr>
                <w:rFonts w:ascii="Aptos" w:eastAsia="Aptos" w:hAnsi="Aptos" w:cs="Aptos"/>
              </w:rPr>
              <w:t>Kyabram and District Health</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14:paraId="1CA984A4" w14:textId="77777777" w:rsidR="00CB00FD" w:rsidRDefault="00CB00FD" w:rsidP="00F85AFC">
            <w:pPr>
              <w:spacing w:after="0"/>
              <w:rPr>
                <w:rFonts w:ascii="Aptos" w:eastAsia="Aptos" w:hAnsi="Aptos" w:cs="Aptos"/>
              </w:rPr>
            </w:pPr>
            <w:r w:rsidRPr="17C1BCCD">
              <w:rPr>
                <w:rFonts w:ascii="Aptos" w:eastAsia="Aptos" w:hAnsi="Aptos" w:cs="Aptos"/>
              </w:rPr>
              <w:t xml:space="preserve">Maryborough District Health Service </w:t>
            </w:r>
          </w:p>
        </w:tc>
      </w:tr>
      <w:tr w:rsidR="00CB00FD" w14:paraId="30CB696C" w14:textId="77777777" w:rsidTr="00F85AFC">
        <w:trPr>
          <w:trHeight w:val="335"/>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27596F99" w14:textId="77777777" w:rsidR="00CB00FD" w:rsidRDefault="00CB00FD" w:rsidP="00F85AFC">
            <w:pPr>
              <w:spacing w:after="0"/>
              <w:rPr>
                <w:rFonts w:ascii="Aptos" w:eastAsia="Aptos" w:hAnsi="Aptos" w:cs="Aptos"/>
              </w:rPr>
            </w:pPr>
            <w:r w:rsidRPr="17C1BCCD">
              <w:rPr>
                <w:rFonts w:ascii="Aptos" w:eastAsia="Aptos" w:hAnsi="Aptos" w:cs="Aptos"/>
              </w:rPr>
              <w:t xml:space="preserve">Portland District Health  </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tcPr>
          <w:p w14:paraId="2D1B1939" w14:textId="77777777" w:rsidR="00CB00FD" w:rsidRDefault="00CB00FD" w:rsidP="00F85AFC">
            <w:pPr>
              <w:spacing w:after="0"/>
              <w:rPr>
                <w:rFonts w:ascii="Aptos" w:eastAsia="Aptos" w:hAnsi="Aptos" w:cs="Aptos"/>
              </w:rPr>
            </w:pPr>
            <w:r w:rsidRPr="17C1BCCD">
              <w:rPr>
                <w:rFonts w:ascii="Aptos" w:eastAsia="Aptos" w:hAnsi="Aptos" w:cs="Aptos"/>
              </w:rPr>
              <w:t xml:space="preserve">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14:paraId="03A374FB" w14:textId="77777777" w:rsidR="00CB00FD" w:rsidRDefault="00CB00FD" w:rsidP="00F85AFC">
            <w:pPr>
              <w:spacing w:after="0"/>
              <w:rPr>
                <w:rFonts w:ascii="Aptos" w:eastAsia="Aptos" w:hAnsi="Aptos" w:cs="Aptos"/>
              </w:rPr>
            </w:pPr>
            <w:r w:rsidRPr="17C1BCCD">
              <w:rPr>
                <w:rFonts w:ascii="Aptos" w:eastAsia="Aptos" w:hAnsi="Aptos" w:cs="Aptos"/>
              </w:rPr>
              <w:t xml:space="preserve"> </w:t>
            </w:r>
          </w:p>
        </w:tc>
      </w:tr>
      <w:tr w:rsidR="00CB00FD" w14:paraId="1488DEF8" w14:textId="77777777" w:rsidTr="00CB00FD">
        <w:trPr>
          <w:trHeight w:val="300"/>
        </w:trPr>
        <w:tc>
          <w:tcPr>
            <w:tcW w:w="934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981C78" w14:textId="77777777" w:rsidR="00CB00FD" w:rsidRDefault="00CB00FD" w:rsidP="00CB00FD">
            <w:pPr>
              <w:pStyle w:val="Heading2"/>
              <w:numPr>
                <w:ilvl w:val="0"/>
                <w:numId w:val="0"/>
              </w:numPr>
              <w:spacing w:before="160" w:after="80"/>
              <w:ind w:left="1305"/>
              <w:jc w:val="center"/>
              <w:rPr>
                <w:rFonts w:ascii="Aptos Display" w:eastAsia="Aptos Display" w:hAnsi="Aptos Display" w:cs="Aptos Display"/>
                <w:bCs/>
                <w:color w:val="0F4761"/>
                <w:sz w:val="22"/>
                <w:szCs w:val="22"/>
              </w:rPr>
            </w:pPr>
            <w:bookmarkStart w:id="151" w:name="_Toc217317842"/>
            <w:bookmarkStart w:id="152" w:name="_Toc217405505"/>
            <w:r w:rsidRPr="17C1BCCD">
              <w:rPr>
                <w:rFonts w:ascii="Aptos Display" w:eastAsia="Aptos Display" w:hAnsi="Aptos Display" w:cs="Aptos Display"/>
                <w:bCs/>
                <w:color w:val="0F4761"/>
                <w:sz w:val="22"/>
                <w:szCs w:val="22"/>
              </w:rPr>
              <w:t>Small Rural Health Services (30)</w:t>
            </w:r>
            <w:bookmarkEnd w:id="151"/>
            <w:bookmarkEnd w:id="152"/>
          </w:p>
        </w:tc>
      </w:tr>
      <w:tr w:rsidR="00CB00FD" w14:paraId="681F2594"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61DE8C7C" w14:textId="77777777" w:rsidR="00CB00FD" w:rsidRDefault="00CB00FD" w:rsidP="00CB00FD">
            <w:pPr>
              <w:spacing w:after="0"/>
              <w:rPr>
                <w:rFonts w:ascii="Aptos" w:eastAsia="Aptos" w:hAnsi="Aptos" w:cs="Aptos"/>
              </w:rPr>
            </w:pPr>
            <w:r w:rsidRPr="17C1BCCD">
              <w:rPr>
                <w:rFonts w:ascii="Aptos" w:eastAsia="Aptos" w:hAnsi="Aptos" w:cs="Aptos"/>
              </w:rPr>
              <w:t xml:space="preserve">Alexandra District Health </w:t>
            </w:r>
          </w:p>
        </w:tc>
        <w:tc>
          <w:tcPr>
            <w:tcW w:w="3066" w:type="dxa"/>
            <w:tcBorders>
              <w:top w:val="nil"/>
              <w:left w:val="single" w:sz="8" w:space="0" w:color="auto"/>
              <w:bottom w:val="single" w:sz="8" w:space="0" w:color="auto"/>
              <w:right w:val="single" w:sz="8" w:space="0" w:color="auto"/>
            </w:tcBorders>
            <w:tcMar>
              <w:left w:w="108" w:type="dxa"/>
              <w:right w:w="108" w:type="dxa"/>
            </w:tcMar>
          </w:tcPr>
          <w:p w14:paraId="31C05A53" w14:textId="77777777" w:rsidR="00CB00FD" w:rsidRDefault="00CB00FD" w:rsidP="00F85AFC">
            <w:pPr>
              <w:spacing w:after="0"/>
              <w:rPr>
                <w:rFonts w:ascii="Aptos" w:eastAsia="Aptos" w:hAnsi="Aptos" w:cs="Aptos"/>
              </w:rPr>
            </w:pPr>
            <w:r w:rsidRPr="17C1BCCD">
              <w:rPr>
                <w:rFonts w:ascii="Aptos" w:eastAsia="Aptos" w:hAnsi="Aptos" w:cs="Aptos"/>
              </w:rPr>
              <w:t xml:space="preserve">Beaufort and Skipton Health Service </w:t>
            </w:r>
          </w:p>
        </w:tc>
        <w:tc>
          <w:tcPr>
            <w:tcW w:w="3114" w:type="dxa"/>
            <w:tcBorders>
              <w:top w:val="nil"/>
              <w:left w:val="single" w:sz="8" w:space="0" w:color="auto"/>
              <w:bottom w:val="single" w:sz="8" w:space="0" w:color="auto"/>
              <w:right w:val="single" w:sz="8" w:space="0" w:color="auto"/>
            </w:tcBorders>
            <w:tcMar>
              <w:left w:w="108" w:type="dxa"/>
              <w:right w:w="108" w:type="dxa"/>
            </w:tcMar>
          </w:tcPr>
          <w:p w14:paraId="3B55DD7F" w14:textId="77777777" w:rsidR="00CB00FD" w:rsidRDefault="00CB00FD" w:rsidP="00CB00FD">
            <w:pPr>
              <w:spacing w:after="0"/>
              <w:rPr>
                <w:rFonts w:ascii="Aptos" w:eastAsia="Aptos" w:hAnsi="Aptos" w:cs="Aptos"/>
              </w:rPr>
            </w:pPr>
            <w:r w:rsidRPr="17C1BCCD">
              <w:rPr>
                <w:rFonts w:ascii="Aptos" w:eastAsia="Aptos" w:hAnsi="Aptos" w:cs="Aptos"/>
              </w:rPr>
              <w:t xml:space="preserve">Beechworth Health Service </w:t>
            </w:r>
          </w:p>
        </w:tc>
      </w:tr>
      <w:tr w:rsidR="00CB00FD" w14:paraId="1B14683C"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0DF193CF" w14:textId="77777777" w:rsidR="00CB00FD" w:rsidRDefault="00CB00FD" w:rsidP="00CB00FD">
            <w:pPr>
              <w:spacing w:after="0"/>
              <w:rPr>
                <w:rFonts w:ascii="Aptos" w:eastAsia="Aptos" w:hAnsi="Aptos" w:cs="Aptos"/>
              </w:rPr>
            </w:pPr>
            <w:r w:rsidRPr="17C1BCCD">
              <w:rPr>
                <w:rFonts w:ascii="Aptos" w:eastAsia="Aptos" w:hAnsi="Aptos" w:cs="Aptos"/>
              </w:rPr>
              <w:t xml:space="preserve">Boort District Health </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tcPr>
          <w:p w14:paraId="07C0150A" w14:textId="77777777" w:rsidR="00CB00FD" w:rsidRDefault="00CB00FD" w:rsidP="00CB00FD">
            <w:pPr>
              <w:spacing w:after="0"/>
              <w:rPr>
                <w:rFonts w:ascii="Aptos" w:eastAsia="Aptos" w:hAnsi="Aptos" w:cs="Aptos"/>
              </w:rPr>
            </w:pPr>
            <w:r w:rsidRPr="17C1BCCD">
              <w:rPr>
                <w:rFonts w:ascii="Aptos" w:eastAsia="Aptos" w:hAnsi="Aptos" w:cs="Aptos"/>
              </w:rPr>
              <w:t xml:space="preserve">Casterton Memorial Hospital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14:paraId="6EF3D3E2" w14:textId="77777777" w:rsidR="00CB00FD" w:rsidRDefault="00CB00FD" w:rsidP="00F85AFC">
            <w:pPr>
              <w:spacing w:after="0"/>
              <w:rPr>
                <w:rFonts w:ascii="Aptos" w:eastAsia="Aptos" w:hAnsi="Aptos" w:cs="Aptos"/>
              </w:rPr>
            </w:pPr>
            <w:r w:rsidRPr="17C1BCCD">
              <w:rPr>
                <w:rFonts w:ascii="Aptos" w:eastAsia="Aptos" w:hAnsi="Aptos" w:cs="Aptos"/>
              </w:rPr>
              <w:t xml:space="preserve">Central Highlands Rural Health </w:t>
            </w:r>
          </w:p>
        </w:tc>
      </w:tr>
      <w:tr w:rsidR="00CB00FD" w14:paraId="16032A27"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78EF8542" w14:textId="77777777" w:rsidR="00CB00FD" w:rsidRDefault="00CB00FD" w:rsidP="00CB00FD">
            <w:pPr>
              <w:spacing w:after="0"/>
              <w:rPr>
                <w:rFonts w:ascii="Aptos" w:eastAsia="Aptos" w:hAnsi="Aptos" w:cs="Aptos"/>
              </w:rPr>
            </w:pPr>
            <w:r w:rsidRPr="17C1BCCD">
              <w:rPr>
                <w:rFonts w:ascii="Aptos" w:eastAsia="Aptos" w:hAnsi="Aptos" w:cs="Aptos"/>
              </w:rPr>
              <w:t xml:space="preserve">Cohuna District Hospital </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tcPr>
          <w:p w14:paraId="17D82F6A" w14:textId="77777777" w:rsidR="00CB00FD" w:rsidRDefault="00CB00FD" w:rsidP="00F85AFC">
            <w:pPr>
              <w:spacing w:after="0"/>
              <w:rPr>
                <w:rFonts w:ascii="Aptos" w:eastAsia="Aptos" w:hAnsi="Aptos" w:cs="Aptos"/>
              </w:rPr>
            </w:pPr>
            <w:r w:rsidRPr="17C1BCCD">
              <w:rPr>
                <w:rFonts w:ascii="Aptos" w:eastAsia="Aptos" w:hAnsi="Aptos" w:cs="Aptos"/>
              </w:rPr>
              <w:t xml:space="preserve">East Wimmera Health Service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14:paraId="5B9FA17D" w14:textId="77777777" w:rsidR="00CB00FD" w:rsidRDefault="00CB00FD" w:rsidP="00CB00FD">
            <w:pPr>
              <w:spacing w:after="0"/>
              <w:rPr>
                <w:rFonts w:ascii="Aptos" w:eastAsia="Aptos" w:hAnsi="Aptos" w:cs="Aptos"/>
              </w:rPr>
            </w:pPr>
            <w:r w:rsidRPr="17C1BCCD">
              <w:rPr>
                <w:rFonts w:ascii="Aptos" w:eastAsia="Aptos" w:hAnsi="Aptos" w:cs="Aptos"/>
              </w:rPr>
              <w:t xml:space="preserve">Great Ocean Road Health </w:t>
            </w:r>
          </w:p>
        </w:tc>
      </w:tr>
      <w:tr w:rsidR="00CB00FD" w14:paraId="7F9A53A7"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1274E9AC" w14:textId="77777777" w:rsidR="00CB00FD" w:rsidRDefault="00CB00FD" w:rsidP="00CB00FD">
            <w:pPr>
              <w:spacing w:after="0"/>
              <w:rPr>
                <w:rFonts w:ascii="Aptos" w:eastAsia="Aptos" w:hAnsi="Aptos" w:cs="Aptos"/>
              </w:rPr>
            </w:pPr>
            <w:r w:rsidRPr="00675FED">
              <w:rPr>
                <w:rFonts w:ascii="Aptos" w:eastAsia="Aptos" w:hAnsi="Aptos" w:cs="Aptos"/>
              </w:rPr>
              <w:t>Heyfield Hospital Inc</w:t>
            </w:r>
            <w:r w:rsidRPr="17C1BCCD">
              <w:rPr>
                <w:rFonts w:ascii="Aptos" w:eastAsia="Aptos" w:hAnsi="Aptos" w:cs="Aptos"/>
              </w:rPr>
              <w:t xml:space="preserve">  </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tcPr>
          <w:p w14:paraId="2A35143F" w14:textId="77777777" w:rsidR="00CB00FD" w:rsidRDefault="00CB00FD" w:rsidP="00F85AFC">
            <w:pPr>
              <w:spacing w:after="0"/>
              <w:rPr>
                <w:rFonts w:ascii="Aptos" w:eastAsia="Aptos" w:hAnsi="Aptos" w:cs="Aptos"/>
              </w:rPr>
            </w:pPr>
            <w:r w:rsidRPr="17C1BCCD">
              <w:rPr>
                <w:rFonts w:ascii="Aptos" w:eastAsia="Aptos" w:hAnsi="Aptos" w:cs="Aptos"/>
              </w:rPr>
              <w:t xml:space="preserve">Heathcote Health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14:paraId="51568788" w14:textId="77777777" w:rsidR="00CB00FD" w:rsidRDefault="00CB00FD" w:rsidP="00F85AFC">
            <w:pPr>
              <w:spacing w:after="0"/>
              <w:rPr>
                <w:rFonts w:ascii="Aptos" w:eastAsia="Aptos" w:hAnsi="Aptos" w:cs="Aptos"/>
              </w:rPr>
            </w:pPr>
            <w:r w:rsidRPr="17C1BCCD">
              <w:rPr>
                <w:rFonts w:ascii="Aptos" w:eastAsia="Aptos" w:hAnsi="Aptos" w:cs="Aptos"/>
              </w:rPr>
              <w:t xml:space="preserve">Hesse Rural Health Service </w:t>
            </w:r>
          </w:p>
        </w:tc>
      </w:tr>
      <w:tr w:rsidR="00CB00FD" w14:paraId="3FA80213"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5E883968" w14:textId="77777777" w:rsidR="00CB00FD" w:rsidRDefault="00CB00FD" w:rsidP="00CB00FD">
            <w:pPr>
              <w:spacing w:after="0"/>
              <w:rPr>
                <w:rFonts w:ascii="Aptos" w:eastAsia="Aptos" w:hAnsi="Aptos" w:cs="Aptos"/>
              </w:rPr>
            </w:pPr>
            <w:r w:rsidRPr="17C1BCCD">
              <w:rPr>
                <w:rFonts w:ascii="Aptos" w:eastAsia="Aptos" w:hAnsi="Aptos" w:cs="Aptos"/>
              </w:rPr>
              <w:t xml:space="preserve">Heywood Rural Health  </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tcPr>
          <w:p w14:paraId="2B0F41D8" w14:textId="77777777" w:rsidR="00CB00FD" w:rsidRDefault="00CB00FD" w:rsidP="00F85AFC">
            <w:pPr>
              <w:spacing w:after="0"/>
              <w:rPr>
                <w:rFonts w:ascii="Aptos" w:eastAsia="Aptos" w:hAnsi="Aptos" w:cs="Aptos"/>
              </w:rPr>
            </w:pPr>
            <w:r w:rsidRPr="17C1BCCD">
              <w:rPr>
                <w:rFonts w:ascii="Aptos" w:eastAsia="Aptos" w:hAnsi="Aptos" w:cs="Aptos"/>
              </w:rPr>
              <w:t xml:space="preserve">Inglewood and Districts Health Service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14:paraId="035DC700" w14:textId="77777777" w:rsidR="00CB00FD" w:rsidRDefault="00CB00FD" w:rsidP="00CB00FD">
            <w:pPr>
              <w:spacing w:after="0"/>
              <w:rPr>
                <w:rFonts w:ascii="Aptos" w:eastAsia="Aptos" w:hAnsi="Aptos" w:cs="Aptos"/>
              </w:rPr>
            </w:pPr>
            <w:r w:rsidRPr="17C1BCCD">
              <w:rPr>
                <w:rFonts w:ascii="Aptos" w:eastAsia="Aptos" w:hAnsi="Aptos" w:cs="Aptos"/>
              </w:rPr>
              <w:t xml:space="preserve">Kerang District Health </w:t>
            </w:r>
          </w:p>
        </w:tc>
      </w:tr>
      <w:tr w:rsidR="00CB00FD" w14:paraId="6A468802"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2B6459C9" w14:textId="77777777" w:rsidR="00CB00FD" w:rsidRDefault="00CB00FD" w:rsidP="00F85AFC">
            <w:pPr>
              <w:spacing w:after="0"/>
              <w:rPr>
                <w:rFonts w:ascii="Aptos" w:eastAsia="Aptos" w:hAnsi="Aptos" w:cs="Aptos"/>
              </w:rPr>
            </w:pPr>
            <w:r w:rsidRPr="17C1BCCD">
              <w:rPr>
                <w:rFonts w:ascii="Aptos" w:eastAsia="Aptos" w:hAnsi="Aptos" w:cs="Aptos"/>
              </w:rPr>
              <w:t xml:space="preserve">Kooweerup Regional Health Service </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tcPr>
          <w:p w14:paraId="43D5476A" w14:textId="77777777" w:rsidR="00CB00FD" w:rsidRDefault="00CB00FD" w:rsidP="00CB00FD">
            <w:pPr>
              <w:spacing w:after="0"/>
              <w:rPr>
                <w:rFonts w:ascii="Aptos" w:eastAsia="Aptos" w:hAnsi="Aptos" w:cs="Aptos"/>
              </w:rPr>
            </w:pPr>
            <w:r w:rsidRPr="17C1BCCD">
              <w:rPr>
                <w:rFonts w:ascii="Aptos" w:eastAsia="Aptos" w:hAnsi="Aptos" w:cs="Aptos"/>
              </w:rPr>
              <w:t xml:space="preserve">Mansfield District Hospital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14:paraId="68218DB7" w14:textId="77777777" w:rsidR="00CB00FD" w:rsidRDefault="00CB00FD" w:rsidP="00CB00FD">
            <w:pPr>
              <w:spacing w:after="0"/>
              <w:rPr>
                <w:rFonts w:ascii="Aptos" w:eastAsia="Aptos" w:hAnsi="Aptos" w:cs="Aptos"/>
              </w:rPr>
            </w:pPr>
            <w:r w:rsidRPr="17C1BCCD">
              <w:rPr>
                <w:rFonts w:ascii="Aptos" w:eastAsia="Aptos" w:hAnsi="Aptos" w:cs="Aptos"/>
              </w:rPr>
              <w:t xml:space="preserve">Moyne Health Services </w:t>
            </w:r>
          </w:p>
        </w:tc>
      </w:tr>
      <w:tr w:rsidR="00CB00FD" w14:paraId="053DD573"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2EDCAF76" w14:textId="77777777" w:rsidR="00CB00FD" w:rsidRDefault="00CB00FD" w:rsidP="00CB00FD">
            <w:pPr>
              <w:spacing w:after="0"/>
              <w:rPr>
                <w:rFonts w:ascii="Aptos" w:eastAsia="Aptos" w:hAnsi="Aptos" w:cs="Aptos"/>
              </w:rPr>
            </w:pPr>
            <w:r w:rsidRPr="17C1BCCD">
              <w:rPr>
                <w:rFonts w:ascii="Aptos" w:eastAsia="Aptos" w:hAnsi="Aptos" w:cs="Aptos"/>
              </w:rPr>
              <w:t xml:space="preserve">NCN Health </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tcPr>
          <w:p w14:paraId="63440992" w14:textId="77777777" w:rsidR="00CB00FD" w:rsidRDefault="00CB00FD" w:rsidP="00CB00FD">
            <w:pPr>
              <w:spacing w:after="0"/>
              <w:rPr>
                <w:rFonts w:ascii="Aptos" w:eastAsia="Aptos" w:hAnsi="Aptos" w:cs="Aptos"/>
              </w:rPr>
            </w:pPr>
            <w:r w:rsidRPr="17C1BCCD">
              <w:rPr>
                <w:rFonts w:ascii="Aptos" w:eastAsia="Aptos" w:hAnsi="Aptos" w:cs="Aptos"/>
              </w:rPr>
              <w:t xml:space="preserve">Omeo District Health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14:paraId="44301FB9" w14:textId="77777777" w:rsidR="00CB00FD" w:rsidRDefault="00CB00FD" w:rsidP="00F85AFC">
            <w:pPr>
              <w:spacing w:after="0"/>
              <w:rPr>
                <w:rFonts w:ascii="Aptos" w:eastAsia="Aptos" w:hAnsi="Aptos" w:cs="Aptos"/>
              </w:rPr>
            </w:pPr>
            <w:r w:rsidRPr="17C1BCCD">
              <w:rPr>
                <w:rFonts w:ascii="Aptos" w:eastAsia="Aptos" w:hAnsi="Aptos" w:cs="Aptos"/>
              </w:rPr>
              <w:t xml:space="preserve">Rochester and Elmore District Health Service </w:t>
            </w:r>
          </w:p>
        </w:tc>
      </w:tr>
      <w:tr w:rsidR="00CB00FD" w14:paraId="7B68278A"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30325D11" w14:textId="77777777" w:rsidR="00CB00FD" w:rsidRDefault="00CB00FD" w:rsidP="00CB00FD">
            <w:pPr>
              <w:spacing w:after="0"/>
              <w:rPr>
                <w:rFonts w:ascii="Aptos" w:eastAsia="Aptos" w:hAnsi="Aptos" w:cs="Aptos"/>
              </w:rPr>
            </w:pPr>
            <w:r w:rsidRPr="17C1BCCD">
              <w:rPr>
                <w:rFonts w:ascii="Aptos" w:eastAsia="Aptos" w:hAnsi="Aptos" w:cs="Aptos"/>
              </w:rPr>
              <w:lastRenderedPageBreak/>
              <w:t xml:space="preserve">Rural Northwest Health </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tcPr>
          <w:p w14:paraId="1729292C" w14:textId="77777777" w:rsidR="00CB00FD" w:rsidRDefault="00CB00FD" w:rsidP="00CB00FD">
            <w:pPr>
              <w:spacing w:after="0"/>
              <w:rPr>
                <w:rFonts w:ascii="Aptos" w:eastAsia="Aptos" w:hAnsi="Aptos" w:cs="Aptos"/>
              </w:rPr>
            </w:pPr>
            <w:r w:rsidRPr="17C1BCCD">
              <w:rPr>
                <w:rFonts w:ascii="Aptos" w:eastAsia="Aptos" w:hAnsi="Aptos" w:cs="Aptos"/>
              </w:rPr>
              <w:t>Seymour Health</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14:paraId="211D4837" w14:textId="77777777" w:rsidR="00CB00FD" w:rsidRDefault="00CB00FD" w:rsidP="00CB00FD">
            <w:pPr>
              <w:spacing w:after="0"/>
              <w:rPr>
                <w:rFonts w:ascii="Aptos" w:eastAsia="Aptos" w:hAnsi="Aptos" w:cs="Aptos"/>
              </w:rPr>
            </w:pPr>
            <w:r w:rsidRPr="17C1BCCD">
              <w:rPr>
                <w:rFonts w:ascii="Aptos" w:eastAsia="Aptos" w:hAnsi="Aptos" w:cs="Aptos"/>
              </w:rPr>
              <w:t xml:space="preserve">South Gippsland Hospital </w:t>
            </w:r>
          </w:p>
        </w:tc>
      </w:tr>
      <w:tr w:rsidR="00CB00FD" w14:paraId="5E5A275E"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65C1D6DC" w14:textId="77777777" w:rsidR="00CB00FD" w:rsidRPr="17C1BCCD" w:rsidRDefault="00CB00FD" w:rsidP="00F85AFC">
            <w:pPr>
              <w:spacing w:after="0"/>
              <w:rPr>
                <w:rFonts w:ascii="Aptos" w:eastAsia="Aptos" w:hAnsi="Aptos" w:cs="Aptos"/>
              </w:rPr>
            </w:pPr>
            <w:r w:rsidRPr="17C1BCCD">
              <w:rPr>
                <w:rFonts w:ascii="Aptos" w:eastAsia="Aptos" w:hAnsi="Aptos" w:cs="Aptos"/>
              </w:rPr>
              <w:t>Tallangatta Health Service</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tcPr>
          <w:p w14:paraId="585CAE55" w14:textId="77777777" w:rsidR="00CB00FD" w:rsidRPr="17C1BCCD" w:rsidRDefault="00CB00FD" w:rsidP="00F85AFC">
            <w:pPr>
              <w:spacing w:after="0"/>
              <w:rPr>
                <w:rFonts w:ascii="Aptos" w:eastAsia="Aptos" w:hAnsi="Aptos" w:cs="Aptos"/>
              </w:rPr>
            </w:pPr>
            <w:r w:rsidRPr="17C1BCCD">
              <w:rPr>
                <w:rFonts w:ascii="Aptos" w:eastAsia="Aptos" w:hAnsi="Aptos" w:cs="Aptos"/>
              </w:rPr>
              <w:t>Terang and Mortlake Health Service</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14:paraId="7698C8BE" w14:textId="77777777" w:rsidR="00CB00FD" w:rsidRPr="17C1BCCD" w:rsidRDefault="00CB00FD" w:rsidP="00F85AFC">
            <w:pPr>
              <w:spacing w:after="0"/>
              <w:rPr>
                <w:rFonts w:ascii="Aptos" w:eastAsia="Aptos" w:hAnsi="Aptos" w:cs="Aptos"/>
              </w:rPr>
            </w:pPr>
            <w:r w:rsidRPr="17C1BCCD">
              <w:rPr>
                <w:rFonts w:ascii="Aptos" w:eastAsia="Aptos" w:hAnsi="Aptos" w:cs="Aptos"/>
              </w:rPr>
              <w:t>West Wimmera Health Service</w:t>
            </w:r>
          </w:p>
        </w:tc>
      </w:tr>
      <w:tr w:rsidR="00CB00FD" w14:paraId="42591183"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43A53536" w14:textId="77777777" w:rsidR="00CB00FD" w:rsidRDefault="00CB00FD" w:rsidP="00F85AFC">
            <w:pPr>
              <w:spacing w:after="0"/>
              <w:rPr>
                <w:rFonts w:ascii="Aptos" w:eastAsia="Aptos" w:hAnsi="Aptos" w:cs="Aptos"/>
              </w:rPr>
            </w:pPr>
            <w:r w:rsidRPr="17C1BCCD">
              <w:rPr>
                <w:rFonts w:ascii="Aptos" w:eastAsia="Aptos" w:hAnsi="Aptos" w:cs="Aptos"/>
              </w:rPr>
              <w:t xml:space="preserve">Yarram and District Health Service </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tcPr>
          <w:p w14:paraId="33F74052" w14:textId="77777777" w:rsidR="00CB00FD" w:rsidRDefault="00CB00FD" w:rsidP="00CB00FD">
            <w:pPr>
              <w:spacing w:after="0"/>
              <w:rPr>
                <w:rFonts w:ascii="Aptos" w:eastAsia="Aptos" w:hAnsi="Aptos" w:cs="Aptos"/>
              </w:rPr>
            </w:pPr>
            <w:r w:rsidRPr="17C1BCCD">
              <w:rPr>
                <w:rFonts w:ascii="Aptos" w:eastAsia="Aptos" w:hAnsi="Aptos" w:cs="Aptos"/>
              </w:rPr>
              <w:t xml:space="preserve">Yarrawonga Health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14:paraId="2F6B4C40" w14:textId="77777777" w:rsidR="00CB00FD" w:rsidRDefault="00CB00FD" w:rsidP="00F85AFC">
            <w:pPr>
              <w:spacing w:after="0"/>
              <w:rPr>
                <w:rFonts w:ascii="Aptos" w:eastAsia="Aptos" w:hAnsi="Aptos" w:cs="Aptos"/>
              </w:rPr>
            </w:pPr>
            <w:r w:rsidRPr="17C1BCCD">
              <w:rPr>
                <w:rFonts w:ascii="Aptos" w:eastAsia="Aptos" w:hAnsi="Aptos" w:cs="Aptos"/>
              </w:rPr>
              <w:t xml:space="preserve">Yea and District Memorial Hospital </w:t>
            </w:r>
          </w:p>
        </w:tc>
      </w:tr>
      <w:tr w:rsidR="00CB00FD" w14:paraId="4DCD367B" w14:textId="77777777" w:rsidTr="00CB00FD">
        <w:trPr>
          <w:trHeight w:val="402"/>
        </w:trPr>
        <w:tc>
          <w:tcPr>
            <w:tcW w:w="934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019565" w14:textId="77777777" w:rsidR="00CB00FD" w:rsidRDefault="00CB00FD" w:rsidP="00CB00FD">
            <w:pPr>
              <w:pStyle w:val="Heading2"/>
              <w:numPr>
                <w:ilvl w:val="0"/>
                <w:numId w:val="0"/>
              </w:numPr>
              <w:spacing w:before="160" w:after="80"/>
              <w:ind w:left="1305"/>
              <w:jc w:val="center"/>
              <w:rPr>
                <w:rFonts w:ascii="Aptos Display" w:eastAsia="Aptos Display" w:hAnsi="Aptos Display" w:cs="Aptos Display"/>
                <w:bCs/>
                <w:color w:val="0F4761"/>
                <w:sz w:val="22"/>
                <w:szCs w:val="22"/>
              </w:rPr>
            </w:pPr>
            <w:bookmarkStart w:id="153" w:name="_Toc217317843"/>
            <w:bookmarkStart w:id="154" w:name="_Toc217405506"/>
            <w:r w:rsidRPr="17C1BCCD">
              <w:rPr>
                <w:rFonts w:ascii="Aptos Display" w:eastAsia="Aptos Display" w:hAnsi="Aptos Display" w:cs="Aptos Display"/>
                <w:bCs/>
                <w:color w:val="0F4761"/>
                <w:sz w:val="22"/>
                <w:szCs w:val="22"/>
              </w:rPr>
              <w:t>Multi-purpose Services (6)</w:t>
            </w:r>
            <w:bookmarkEnd w:id="153"/>
            <w:bookmarkEnd w:id="154"/>
          </w:p>
        </w:tc>
      </w:tr>
      <w:tr w:rsidR="00CB00FD" w14:paraId="7FE348AD"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54AFF103" w14:textId="77777777" w:rsidR="00CB00FD" w:rsidRDefault="00CB00FD" w:rsidP="00CB00FD">
            <w:pPr>
              <w:spacing w:after="0"/>
              <w:rPr>
                <w:rFonts w:ascii="Aptos" w:eastAsia="Aptos" w:hAnsi="Aptos" w:cs="Aptos"/>
              </w:rPr>
            </w:pPr>
            <w:r w:rsidRPr="17C1BCCD">
              <w:rPr>
                <w:rFonts w:ascii="Aptos" w:eastAsia="Aptos" w:hAnsi="Aptos" w:cs="Aptos"/>
              </w:rPr>
              <w:t xml:space="preserve">Alpine Health </w:t>
            </w:r>
          </w:p>
        </w:tc>
        <w:tc>
          <w:tcPr>
            <w:tcW w:w="3066" w:type="dxa"/>
            <w:tcBorders>
              <w:top w:val="nil"/>
              <w:left w:val="single" w:sz="8" w:space="0" w:color="auto"/>
              <w:bottom w:val="single" w:sz="8" w:space="0" w:color="auto"/>
              <w:right w:val="single" w:sz="8" w:space="0" w:color="auto"/>
            </w:tcBorders>
            <w:tcMar>
              <w:left w:w="108" w:type="dxa"/>
              <w:right w:w="108" w:type="dxa"/>
            </w:tcMar>
          </w:tcPr>
          <w:p w14:paraId="7CBDE23E" w14:textId="77777777" w:rsidR="00CB00FD" w:rsidRDefault="00CB00FD" w:rsidP="00F85AFC">
            <w:pPr>
              <w:spacing w:after="0"/>
              <w:rPr>
                <w:rFonts w:ascii="Aptos" w:eastAsia="Aptos" w:hAnsi="Aptos" w:cs="Aptos"/>
              </w:rPr>
            </w:pPr>
            <w:r w:rsidRPr="17C1BCCD">
              <w:rPr>
                <w:rFonts w:ascii="Aptos" w:eastAsia="Aptos" w:hAnsi="Aptos" w:cs="Aptos"/>
              </w:rPr>
              <w:t>Mallee Track Health and Community Service</w:t>
            </w:r>
          </w:p>
        </w:tc>
        <w:tc>
          <w:tcPr>
            <w:tcW w:w="3114" w:type="dxa"/>
            <w:tcBorders>
              <w:top w:val="nil"/>
              <w:left w:val="single" w:sz="8" w:space="0" w:color="auto"/>
              <w:bottom w:val="single" w:sz="8" w:space="0" w:color="auto"/>
              <w:right w:val="single" w:sz="8" w:space="0" w:color="auto"/>
            </w:tcBorders>
            <w:tcMar>
              <w:left w:w="108" w:type="dxa"/>
              <w:right w:w="108" w:type="dxa"/>
            </w:tcMar>
          </w:tcPr>
          <w:p w14:paraId="1B9D62C8" w14:textId="77777777" w:rsidR="00CB00FD" w:rsidRDefault="00CB00FD" w:rsidP="00CB00FD">
            <w:pPr>
              <w:spacing w:after="0"/>
              <w:rPr>
                <w:rFonts w:ascii="Aptos" w:eastAsia="Aptos" w:hAnsi="Aptos" w:cs="Aptos"/>
              </w:rPr>
            </w:pPr>
            <w:r w:rsidRPr="17C1BCCD">
              <w:rPr>
                <w:rFonts w:ascii="Aptos" w:eastAsia="Aptos" w:hAnsi="Aptos" w:cs="Aptos"/>
              </w:rPr>
              <w:t xml:space="preserve">Orbost Regional Health  </w:t>
            </w:r>
          </w:p>
        </w:tc>
      </w:tr>
      <w:tr w:rsidR="00CB00FD" w14:paraId="60B4D900"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4D6813A0" w14:textId="77777777" w:rsidR="00CB00FD" w:rsidRDefault="00CB00FD" w:rsidP="00F85AFC">
            <w:pPr>
              <w:spacing w:after="0"/>
              <w:rPr>
                <w:rFonts w:ascii="Aptos" w:eastAsia="Aptos" w:hAnsi="Aptos" w:cs="Aptos"/>
              </w:rPr>
            </w:pPr>
            <w:r w:rsidRPr="17C1BCCD">
              <w:rPr>
                <w:rFonts w:ascii="Aptos" w:eastAsia="Aptos" w:hAnsi="Aptos" w:cs="Aptos"/>
              </w:rPr>
              <w:t xml:space="preserve">Robinvale District Health Services </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tcPr>
          <w:p w14:paraId="2CC5C7DA" w14:textId="77777777" w:rsidR="00CB00FD" w:rsidRDefault="00CB00FD" w:rsidP="00F85AFC">
            <w:pPr>
              <w:spacing w:after="0"/>
              <w:rPr>
                <w:rFonts w:ascii="Aptos" w:eastAsia="Aptos" w:hAnsi="Aptos" w:cs="Aptos"/>
              </w:rPr>
            </w:pPr>
            <w:r w:rsidRPr="17C1BCCD">
              <w:rPr>
                <w:rFonts w:ascii="Aptos" w:eastAsia="Aptos" w:hAnsi="Aptos" w:cs="Aptos"/>
              </w:rPr>
              <w:t xml:space="preserve">Timboon and District Healthcare Service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14:paraId="3A90D129" w14:textId="77777777" w:rsidR="00CB00FD" w:rsidRDefault="00CB00FD" w:rsidP="00CB00FD">
            <w:pPr>
              <w:spacing w:after="0"/>
              <w:rPr>
                <w:rFonts w:ascii="Aptos" w:eastAsia="Aptos" w:hAnsi="Aptos" w:cs="Aptos"/>
              </w:rPr>
            </w:pPr>
            <w:r w:rsidRPr="17C1BCCD">
              <w:rPr>
                <w:rFonts w:ascii="Aptos" w:eastAsia="Aptos" w:hAnsi="Aptos" w:cs="Aptos"/>
              </w:rPr>
              <w:t xml:space="preserve">Corryong Health  </w:t>
            </w:r>
          </w:p>
        </w:tc>
      </w:tr>
      <w:tr w:rsidR="00CB00FD" w14:paraId="326C06D2" w14:textId="77777777" w:rsidTr="00CB00FD">
        <w:trPr>
          <w:trHeight w:val="362"/>
        </w:trPr>
        <w:tc>
          <w:tcPr>
            <w:tcW w:w="934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F5BD4E" w14:textId="77777777" w:rsidR="00CB00FD" w:rsidRDefault="00CB00FD" w:rsidP="00CB00FD">
            <w:pPr>
              <w:pStyle w:val="Heading2"/>
              <w:numPr>
                <w:ilvl w:val="0"/>
                <w:numId w:val="0"/>
              </w:numPr>
              <w:spacing w:before="160" w:after="80"/>
              <w:ind w:left="1305"/>
              <w:jc w:val="center"/>
              <w:rPr>
                <w:rFonts w:ascii="Aptos Display" w:eastAsia="Aptos Display" w:hAnsi="Aptos Display" w:cs="Aptos Display"/>
                <w:bCs/>
                <w:color w:val="0F4761"/>
                <w:sz w:val="22"/>
                <w:szCs w:val="22"/>
              </w:rPr>
            </w:pPr>
            <w:bookmarkStart w:id="155" w:name="_Toc217317844"/>
            <w:bookmarkStart w:id="156" w:name="_Toc217405507"/>
            <w:r w:rsidRPr="17C1BCCD">
              <w:rPr>
                <w:rFonts w:ascii="Aptos Display" w:eastAsia="Aptos Display" w:hAnsi="Aptos Display" w:cs="Aptos Display"/>
                <w:bCs/>
                <w:color w:val="0F4761"/>
                <w:sz w:val="22"/>
                <w:szCs w:val="22"/>
              </w:rPr>
              <w:t>Standalone Public Residential Aged Care Services (4)</w:t>
            </w:r>
            <w:bookmarkEnd w:id="155"/>
            <w:bookmarkEnd w:id="156"/>
          </w:p>
        </w:tc>
      </w:tr>
      <w:tr w:rsidR="00CB00FD" w14:paraId="337206DD"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754E6394" w14:textId="77777777" w:rsidR="00CB00FD" w:rsidRDefault="00CB00FD" w:rsidP="00F85AFC">
            <w:pPr>
              <w:spacing w:after="0"/>
              <w:rPr>
                <w:rFonts w:ascii="Aptos" w:eastAsia="Aptos" w:hAnsi="Aptos" w:cs="Aptos"/>
              </w:rPr>
            </w:pPr>
            <w:r w:rsidRPr="71BBB938">
              <w:rPr>
                <w:rFonts w:ascii="Aptos" w:eastAsia="Aptos" w:hAnsi="Aptos" w:cs="Aptos"/>
              </w:rPr>
              <w:t xml:space="preserve">Darlingford Upper Goulburn Nursing Home Inc </w:t>
            </w:r>
          </w:p>
        </w:tc>
        <w:tc>
          <w:tcPr>
            <w:tcW w:w="3066" w:type="dxa"/>
            <w:tcBorders>
              <w:top w:val="nil"/>
              <w:left w:val="single" w:sz="8" w:space="0" w:color="auto"/>
              <w:bottom w:val="single" w:sz="8" w:space="0" w:color="auto"/>
              <w:right w:val="single" w:sz="8" w:space="0" w:color="auto"/>
            </w:tcBorders>
            <w:tcMar>
              <w:left w:w="108" w:type="dxa"/>
              <w:right w:w="108" w:type="dxa"/>
            </w:tcMar>
          </w:tcPr>
          <w:p w14:paraId="5B4F14EF" w14:textId="77777777" w:rsidR="00CB00FD" w:rsidRDefault="00CB00FD" w:rsidP="00CB00FD">
            <w:pPr>
              <w:spacing w:after="0"/>
              <w:rPr>
                <w:rFonts w:ascii="Aptos" w:eastAsia="Aptos" w:hAnsi="Aptos" w:cs="Aptos"/>
              </w:rPr>
            </w:pPr>
            <w:r w:rsidRPr="17C1BCCD">
              <w:rPr>
                <w:rFonts w:ascii="Aptos" w:eastAsia="Aptos" w:hAnsi="Aptos" w:cs="Aptos"/>
              </w:rPr>
              <w:t xml:space="preserve">Indigo North Health Inc  </w:t>
            </w:r>
          </w:p>
        </w:tc>
        <w:tc>
          <w:tcPr>
            <w:tcW w:w="3114" w:type="dxa"/>
            <w:tcBorders>
              <w:top w:val="nil"/>
              <w:left w:val="single" w:sz="8" w:space="0" w:color="auto"/>
              <w:bottom w:val="single" w:sz="8" w:space="0" w:color="auto"/>
              <w:right w:val="single" w:sz="8" w:space="0" w:color="auto"/>
            </w:tcBorders>
            <w:tcMar>
              <w:left w:w="108" w:type="dxa"/>
              <w:right w:w="108" w:type="dxa"/>
            </w:tcMar>
          </w:tcPr>
          <w:p w14:paraId="03E2EB85" w14:textId="77777777" w:rsidR="00CB00FD" w:rsidRDefault="00CB00FD" w:rsidP="00F85AFC">
            <w:pPr>
              <w:spacing w:after="0"/>
              <w:rPr>
                <w:rFonts w:ascii="Aptos" w:eastAsia="Aptos" w:hAnsi="Aptos" w:cs="Aptos"/>
              </w:rPr>
            </w:pPr>
            <w:r w:rsidRPr="17C1BCCD">
              <w:rPr>
                <w:rFonts w:ascii="Aptos" w:eastAsia="Aptos" w:hAnsi="Aptos" w:cs="Aptos"/>
              </w:rPr>
              <w:t xml:space="preserve">Red Cliffs and Community Aged Care Service Inc </w:t>
            </w:r>
          </w:p>
        </w:tc>
      </w:tr>
      <w:tr w:rsidR="00CB00FD" w14:paraId="1E7CC652" w14:textId="77777777" w:rsidTr="00F85AFC">
        <w:trPr>
          <w:trHeight w:val="33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387E12F1" w14:textId="77777777" w:rsidR="00CB00FD" w:rsidRDefault="00CB00FD" w:rsidP="00CB00FD">
            <w:pPr>
              <w:spacing w:after="0"/>
              <w:rPr>
                <w:rFonts w:ascii="Aptos" w:eastAsia="Aptos" w:hAnsi="Aptos" w:cs="Aptos"/>
              </w:rPr>
            </w:pPr>
            <w:r w:rsidRPr="17C1BCCD">
              <w:rPr>
                <w:rFonts w:ascii="Aptos" w:eastAsia="Aptos" w:hAnsi="Aptos" w:cs="Aptos"/>
              </w:rPr>
              <w:t xml:space="preserve">Lyndoch Living   </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tcPr>
          <w:p w14:paraId="57A98C67" w14:textId="77777777" w:rsidR="00CB00FD" w:rsidRDefault="00CB00FD" w:rsidP="00F85AFC">
            <w:pPr>
              <w:spacing w:after="0"/>
              <w:rPr>
                <w:rFonts w:ascii="Aptos" w:eastAsia="Aptos" w:hAnsi="Aptos" w:cs="Aptos"/>
              </w:rPr>
            </w:pPr>
            <w:r w:rsidRPr="17C1BCCD">
              <w:rPr>
                <w:rFonts w:ascii="Aptos" w:eastAsia="Aptos" w:hAnsi="Aptos" w:cs="Aptos"/>
              </w:rPr>
              <w:t xml:space="preserve">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14:paraId="1E7C37FE" w14:textId="77777777" w:rsidR="00CB00FD" w:rsidRDefault="00CB00FD" w:rsidP="00F85AFC">
            <w:pPr>
              <w:spacing w:after="0"/>
              <w:rPr>
                <w:rFonts w:ascii="Aptos" w:eastAsia="Aptos" w:hAnsi="Aptos" w:cs="Aptos"/>
              </w:rPr>
            </w:pPr>
            <w:r w:rsidRPr="17C1BCCD">
              <w:rPr>
                <w:rFonts w:ascii="Aptos" w:eastAsia="Aptos" w:hAnsi="Aptos" w:cs="Aptos"/>
              </w:rPr>
              <w:t xml:space="preserve"> </w:t>
            </w:r>
          </w:p>
        </w:tc>
      </w:tr>
      <w:tr w:rsidR="00CB00FD" w14:paraId="71A1D894" w14:textId="77777777" w:rsidTr="00CB00FD">
        <w:trPr>
          <w:trHeight w:val="300"/>
        </w:trPr>
        <w:tc>
          <w:tcPr>
            <w:tcW w:w="934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D0F05C" w14:textId="77777777" w:rsidR="00CB00FD" w:rsidRDefault="00CB00FD" w:rsidP="00CB00FD">
            <w:pPr>
              <w:pStyle w:val="Heading2"/>
              <w:numPr>
                <w:ilvl w:val="0"/>
                <w:numId w:val="0"/>
              </w:numPr>
              <w:spacing w:before="160" w:after="80"/>
              <w:ind w:left="1305"/>
              <w:jc w:val="center"/>
              <w:rPr>
                <w:rFonts w:ascii="Aptos Display" w:eastAsia="Aptos Display" w:hAnsi="Aptos Display" w:cs="Aptos Display"/>
                <w:color w:val="0F4761"/>
                <w:sz w:val="22"/>
                <w:szCs w:val="22"/>
              </w:rPr>
            </w:pPr>
            <w:bookmarkStart w:id="157" w:name="_Toc217317845"/>
            <w:bookmarkStart w:id="158" w:name="_Toc217405508"/>
            <w:r w:rsidRPr="17A81E86">
              <w:rPr>
                <w:rFonts w:ascii="Aptos Display" w:eastAsia="Aptos Display" w:hAnsi="Aptos Display" w:cs="Aptos Display"/>
                <w:color w:val="0F4761"/>
                <w:sz w:val="22"/>
                <w:szCs w:val="22"/>
              </w:rPr>
              <w:t>Bush Nursing Hospitals (3)</w:t>
            </w:r>
            <w:bookmarkEnd w:id="157"/>
            <w:bookmarkEnd w:id="158"/>
          </w:p>
        </w:tc>
      </w:tr>
      <w:tr w:rsidR="00CB00FD" w14:paraId="1833E27D"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68FE99D4" w14:textId="77777777" w:rsidR="00CB00FD" w:rsidRDefault="00CB00FD" w:rsidP="00CB00FD">
            <w:pPr>
              <w:spacing w:after="0"/>
              <w:rPr>
                <w:rFonts w:ascii="Aptos" w:eastAsia="Aptos" w:hAnsi="Aptos" w:cs="Aptos"/>
              </w:rPr>
            </w:pPr>
            <w:r w:rsidRPr="17A81E86">
              <w:rPr>
                <w:rFonts w:ascii="Aptos" w:eastAsia="Aptos" w:hAnsi="Aptos" w:cs="Aptos"/>
              </w:rPr>
              <w:t>Euroa Health Inc</w:t>
            </w:r>
          </w:p>
        </w:tc>
        <w:tc>
          <w:tcPr>
            <w:tcW w:w="3066" w:type="dxa"/>
            <w:tcBorders>
              <w:top w:val="nil"/>
              <w:left w:val="single" w:sz="8" w:space="0" w:color="auto"/>
              <w:bottom w:val="single" w:sz="8" w:space="0" w:color="auto"/>
              <w:right w:val="single" w:sz="8" w:space="0" w:color="auto"/>
            </w:tcBorders>
            <w:tcMar>
              <w:left w:w="108" w:type="dxa"/>
              <w:right w:w="108" w:type="dxa"/>
            </w:tcMar>
          </w:tcPr>
          <w:p w14:paraId="0A6041CB" w14:textId="77777777" w:rsidR="00CB00FD" w:rsidRDefault="00CB00FD" w:rsidP="00CB00FD">
            <w:pPr>
              <w:spacing w:after="0"/>
              <w:rPr>
                <w:rFonts w:ascii="Aptos" w:eastAsia="Aptos" w:hAnsi="Aptos" w:cs="Aptos"/>
              </w:rPr>
            </w:pPr>
            <w:r w:rsidRPr="17A81E86">
              <w:rPr>
                <w:rFonts w:ascii="Aptos" w:eastAsia="Aptos" w:hAnsi="Aptos" w:cs="Aptos"/>
              </w:rPr>
              <w:t>Nagambie HealthCare</w:t>
            </w:r>
            <w:r w:rsidRPr="17C1BCCD">
              <w:rPr>
                <w:rFonts w:ascii="Aptos" w:eastAsia="Aptos" w:hAnsi="Aptos" w:cs="Aptos"/>
              </w:rPr>
              <w:t xml:space="preserve"> </w:t>
            </w:r>
          </w:p>
        </w:tc>
        <w:tc>
          <w:tcPr>
            <w:tcW w:w="3114" w:type="dxa"/>
            <w:tcBorders>
              <w:top w:val="nil"/>
              <w:left w:val="single" w:sz="8" w:space="0" w:color="auto"/>
              <w:bottom w:val="single" w:sz="8" w:space="0" w:color="auto"/>
              <w:right w:val="single" w:sz="8" w:space="0" w:color="auto"/>
            </w:tcBorders>
            <w:tcMar>
              <w:left w:w="108" w:type="dxa"/>
              <w:right w:w="108" w:type="dxa"/>
            </w:tcMar>
          </w:tcPr>
          <w:p w14:paraId="29C8D22D" w14:textId="77777777" w:rsidR="00CB00FD" w:rsidRDefault="00CB00FD" w:rsidP="00CB00FD">
            <w:pPr>
              <w:spacing w:after="0"/>
              <w:rPr>
                <w:rFonts w:ascii="Aptos" w:eastAsia="Aptos" w:hAnsi="Aptos" w:cs="Aptos"/>
              </w:rPr>
            </w:pPr>
            <w:r w:rsidRPr="17A81E86">
              <w:rPr>
                <w:rFonts w:ascii="Aptos" w:eastAsia="Aptos" w:hAnsi="Aptos" w:cs="Aptos"/>
              </w:rPr>
              <w:t xml:space="preserve"> Neerim District Health Service</w:t>
            </w:r>
            <w:r w:rsidRPr="17C1BCCD">
              <w:rPr>
                <w:rFonts w:ascii="Aptos" w:eastAsia="Aptos" w:hAnsi="Aptos" w:cs="Aptos"/>
              </w:rPr>
              <w:t xml:space="preserve"> </w:t>
            </w:r>
          </w:p>
        </w:tc>
      </w:tr>
      <w:tr w:rsidR="00CB00FD" w14:paraId="0F783C21" w14:textId="77777777" w:rsidTr="00CB00FD">
        <w:trPr>
          <w:trHeight w:val="300"/>
        </w:trPr>
        <w:tc>
          <w:tcPr>
            <w:tcW w:w="934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849C98" w14:textId="77777777" w:rsidR="00CB00FD" w:rsidRDefault="00CB00FD" w:rsidP="00CB00FD">
            <w:pPr>
              <w:pStyle w:val="Heading2"/>
              <w:numPr>
                <w:ilvl w:val="0"/>
                <w:numId w:val="0"/>
              </w:numPr>
              <w:spacing w:before="160" w:after="80"/>
              <w:ind w:left="1305"/>
              <w:jc w:val="center"/>
              <w:rPr>
                <w:rFonts w:ascii="Aptos Display" w:eastAsia="Aptos Display" w:hAnsi="Aptos Display" w:cs="Aptos Display"/>
                <w:bCs/>
                <w:color w:val="0F4761"/>
                <w:sz w:val="22"/>
                <w:szCs w:val="22"/>
              </w:rPr>
            </w:pPr>
            <w:bookmarkStart w:id="159" w:name="_Toc217317846"/>
            <w:bookmarkStart w:id="160" w:name="_Toc217405509"/>
            <w:r w:rsidRPr="17C1BCCD">
              <w:rPr>
                <w:rFonts w:ascii="Aptos Display" w:eastAsia="Aptos Display" w:hAnsi="Aptos Display" w:cs="Aptos Display"/>
                <w:bCs/>
                <w:color w:val="0F4761"/>
                <w:sz w:val="22"/>
                <w:szCs w:val="22"/>
              </w:rPr>
              <w:t>Registered Community Health Services (12)</w:t>
            </w:r>
            <w:bookmarkEnd w:id="159"/>
            <w:bookmarkEnd w:id="160"/>
          </w:p>
        </w:tc>
      </w:tr>
      <w:tr w:rsidR="00CB00FD" w14:paraId="5FEE1F8D"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12A7675A" w14:textId="77777777" w:rsidR="00CB00FD" w:rsidRDefault="00CB00FD" w:rsidP="00CB00FD">
            <w:pPr>
              <w:spacing w:after="0"/>
              <w:rPr>
                <w:rFonts w:ascii="Aptos" w:eastAsia="Aptos" w:hAnsi="Aptos" w:cs="Aptos"/>
              </w:rPr>
            </w:pPr>
            <w:r w:rsidRPr="17C1BCCD">
              <w:rPr>
                <w:rFonts w:ascii="Aptos" w:eastAsia="Aptos" w:hAnsi="Aptos" w:cs="Aptos"/>
              </w:rPr>
              <w:t xml:space="preserve">Ballarat Community Health  </w:t>
            </w:r>
          </w:p>
        </w:tc>
        <w:tc>
          <w:tcPr>
            <w:tcW w:w="3066" w:type="dxa"/>
            <w:tcBorders>
              <w:top w:val="nil"/>
              <w:left w:val="single" w:sz="8" w:space="0" w:color="auto"/>
              <w:bottom w:val="single" w:sz="8" w:space="0" w:color="auto"/>
              <w:right w:val="single" w:sz="8" w:space="0" w:color="auto"/>
            </w:tcBorders>
            <w:tcMar>
              <w:left w:w="108" w:type="dxa"/>
              <w:right w:w="108" w:type="dxa"/>
            </w:tcMar>
          </w:tcPr>
          <w:p w14:paraId="3B34A55D" w14:textId="77777777" w:rsidR="00CB00FD" w:rsidRDefault="00CB00FD" w:rsidP="00F85AFC">
            <w:pPr>
              <w:spacing w:after="0"/>
              <w:rPr>
                <w:rFonts w:ascii="Aptos" w:eastAsia="Aptos" w:hAnsi="Aptos" w:cs="Aptos"/>
              </w:rPr>
            </w:pPr>
            <w:r w:rsidRPr="17C1BCCD">
              <w:rPr>
                <w:rFonts w:ascii="Aptos" w:eastAsia="Aptos" w:hAnsi="Aptos" w:cs="Aptos"/>
              </w:rPr>
              <w:t xml:space="preserve">Bellarine Community Health Ltd </w:t>
            </w:r>
          </w:p>
        </w:tc>
        <w:tc>
          <w:tcPr>
            <w:tcW w:w="3114" w:type="dxa"/>
            <w:tcBorders>
              <w:top w:val="nil"/>
              <w:left w:val="single" w:sz="8" w:space="0" w:color="auto"/>
              <w:bottom w:val="single" w:sz="8" w:space="0" w:color="auto"/>
              <w:right w:val="single" w:sz="8" w:space="0" w:color="auto"/>
            </w:tcBorders>
            <w:tcMar>
              <w:left w:w="108" w:type="dxa"/>
              <w:right w:w="108" w:type="dxa"/>
            </w:tcMar>
          </w:tcPr>
          <w:p w14:paraId="6DB8A711" w14:textId="77777777" w:rsidR="00CB00FD" w:rsidRDefault="00CB00FD" w:rsidP="00F85AFC">
            <w:pPr>
              <w:spacing w:after="0"/>
              <w:rPr>
                <w:rFonts w:ascii="Aptos" w:eastAsia="Aptos" w:hAnsi="Aptos" w:cs="Aptos"/>
              </w:rPr>
            </w:pPr>
            <w:r w:rsidRPr="17C1BCCD">
              <w:rPr>
                <w:rFonts w:ascii="Aptos" w:eastAsia="Aptos" w:hAnsi="Aptos" w:cs="Aptos"/>
              </w:rPr>
              <w:t xml:space="preserve">Bendigo Community Health Services Ltd </w:t>
            </w:r>
          </w:p>
        </w:tc>
      </w:tr>
      <w:tr w:rsidR="00CB00FD" w14:paraId="463854C0"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4D3D3F1C" w14:textId="77777777" w:rsidR="00CB00FD" w:rsidRDefault="00CB00FD" w:rsidP="00F85AFC">
            <w:pPr>
              <w:spacing w:after="0"/>
              <w:rPr>
                <w:rFonts w:ascii="Aptos" w:eastAsia="Aptos" w:hAnsi="Aptos" w:cs="Aptos"/>
              </w:rPr>
            </w:pPr>
            <w:r w:rsidRPr="71BBB938">
              <w:rPr>
                <w:rFonts w:ascii="Aptos" w:eastAsia="Aptos" w:hAnsi="Aptos" w:cs="Aptos"/>
              </w:rPr>
              <w:t xml:space="preserve">Cobaw Community Health Services Ltd </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tcPr>
          <w:p w14:paraId="41AAFBAD" w14:textId="77777777" w:rsidR="00CB00FD" w:rsidRDefault="00CB00FD" w:rsidP="00CB00FD">
            <w:pPr>
              <w:spacing w:after="0"/>
              <w:rPr>
                <w:rFonts w:ascii="Aptos" w:eastAsia="Aptos" w:hAnsi="Aptos" w:cs="Aptos"/>
              </w:rPr>
            </w:pPr>
            <w:r w:rsidRPr="17C1BCCD">
              <w:rPr>
                <w:rFonts w:ascii="Aptos" w:eastAsia="Aptos" w:hAnsi="Aptos" w:cs="Aptos"/>
              </w:rPr>
              <w:t xml:space="preserve">Gateway Health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14:paraId="5785E1E8" w14:textId="77777777" w:rsidR="00CB00FD" w:rsidRDefault="00CB00FD" w:rsidP="00F85AFC">
            <w:pPr>
              <w:spacing w:after="0"/>
              <w:rPr>
                <w:rFonts w:ascii="Aptos" w:eastAsia="Aptos" w:hAnsi="Aptos" w:cs="Aptos"/>
              </w:rPr>
            </w:pPr>
            <w:r w:rsidRPr="17C1BCCD">
              <w:rPr>
                <w:rFonts w:ascii="Aptos" w:eastAsia="Aptos" w:hAnsi="Aptos" w:cs="Aptos"/>
              </w:rPr>
              <w:t xml:space="preserve">Gippsland Lakes Community Health </w:t>
            </w:r>
          </w:p>
        </w:tc>
      </w:tr>
      <w:tr w:rsidR="00CB00FD" w14:paraId="48F8A9A4"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7A1830EC" w14:textId="77777777" w:rsidR="00CB00FD" w:rsidRDefault="00CB00FD" w:rsidP="00F85AFC">
            <w:pPr>
              <w:spacing w:after="0"/>
              <w:rPr>
                <w:rFonts w:ascii="Aptos" w:eastAsia="Aptos" w:hAnsi="Aptos" w:cs="Aptos"/>
              </w:rPr>
            </w:pPr>
            <w:r w:rsidRPr="17C1BCCD">
              <w:rPr>
                <w:rFonts w:ascii="Aptos" w:eastAsia="Aptos" w:hAnsi="Aptos" w:cs="Aptos"/>
              </w:rPr>
              <w:t xml:space="preserve">Grampians Community Health </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tcPr>
          <w:p w14:paraId="0D19D283" w14:textId="77777777" w:rsidR="00CB00FD" w:rsidRDefault="00CB00FD" w:rsidP="00F85AFC">
            <w:pPr>
              <w:spacing w:after="0"/>
              <w:rPr>
                <w:rFonts w:ascii="Aptos" w:eastAsia="Aptos" w:hAnsi="Aptos" w:cs="Aptos"/>
              </w:rPr>
            </w:pPr>
            <w:r w:rsidRPr="17C1BCCD">
              <w:rPr>
                <w:rFonts w:ascii="Aptos" w:eastAsia="Aptos" w:hAnsi="Aptos" w:cs="Aptos"/>
              </w:rPr>
              <w:t>Latrobe Community Health Service</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14:paraId="32AD99F9" w14:textId="77777777" w:rsidR="00CB00FD" w:rsidRDefault="00CB00FD" w:rsidP="00CB00FD">
            <w:pPr>
              <w:spacing w:after="0"/>
              <w:rPr>
                <w:rFonts w:ascii="Aptos" w:eastAsia="Aptos" w:hAnsi="Aptos" w:cs="Aptos"/>
              </w:rPr>
            </w:pPr>
            <w:r w:rsidRPr="17C1BCCD">
              <w:rPr>
                <w:rFonts w:ascii="Aptos" w:eastAsia="Aptos" w:hAnsi="Aptos" w:cs="Aptos"/>
              </w:rPr>
              <w:t xml:space="preserve">Nexus Primary Health  </w:t>
            </w:r>
          </w:p>
        </w:tc>
      </w:tr>
      <w:tr w:rsidR="00CB00FD" w14:paraId="7C4CEE2D"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0690DDA9" w14:textId="77777777" w:rsidR="00CB00FD" w:rsidRDefault="00CB00FD" w:rsidP="00F85AFC">
            <w:pPr>
              <w:spacing w:after="0"/>
              <w:rPr>
                <w:rFonts w:ascii="Aptos" w:eastAsia="Aptos" w:hAnsi="Aptos" w:cs="Aptos"/>
              </w:rPr>
            </w:pPr>
            <w:r w:rsidRPr="17C1BCCD">
              <w:rPr>
                <w:rFonts w:ascii="Aptos" w:eastAsia="Aptos" w:hAnsi="Aptos" w:cs="Aptos"/>
              </w:rPr>
              <w:t xml:space="preserve">Northern District Community Health Service </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tcPr>
          <w:p w14:paraId="7E945124" w14:textId="77777777" w:rsidR="00CB00FD" w:rsidRDefault="00CB00FD" w:rsidP="00CB00FD">
            <w:pPr>
              <w:spacing w:after="0"/>
              <w:rPr>
                <w:rFonts w:ascii="Aptos" w:eastAsia="Aptos" w:hAnsi="Aptos" w:cs="Aptos"/>
              </w:rPr>
            </w:pPr>
            <w:r w:rsidRPr="17C1BCCD">
              <w:rPr>
                <w:rFonts w:ascii="Aptos" w:eastAsia="Aptos" w:hAnsi="Aptos" w:cs="Aptos"/>
              </w:rPr>
              <w:t xml:space="preserve">Primary Care Connect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14:paraId="1AF9CD7D" w14:textId="77777777" w:rsidR="00CB00FD" w:rsidRDefault="00CB00FD" w:rsidP="00F85AFC">
            <w:pPr>
              <w:spacing w:after="0"/>
              <w:rPr>
                <w:rFonts w:ascii="Aptos" w:eastAsia="Aptos" w:hAnsi="Aptos" w:cs="Aptos"/>
              </w:rPr>
            </w:pPr>
            <w:r w:rsidRPr="17C1BCCD">
              <w:rPr>
                <w:rFonts w:ascii="Aptos" w:eastAsia="Aptos" w:hAnsi="Aptos" w:cs="Aptos"/>
              </w:rPr>
              <w:t xml:space="preserve">Sunraysia Community Health Services Ltd </w:t>
            </w:r>
          </w:p>
        </w:tc>
      </w:tr>
      <w:tr w:rsidR="00CB00FD" w14:paraId="55E0F412" w14:textId="77777777" w:rsidTr="00CB00FD">
        <w:trPr>
          <w:trHeight w:val="302"/>
        </w:trPr>
        <w:tc>
          <w:tcPr>
            <w:tcW w:w="934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5A3646" w14:textId="77777777" w:rsidR="00CB00FD" w:rsidRDefault="00CB00FD" w:rsidP="00CB00FD">
            <w:pPr>
              <w:pStyle w:val="Heading2"/>
              <w:numPr>
                <w:ilvl w:val="0"/>
                <w:numId w:val="0"/>
              </w:numPr>
              <w:spacing w:before="160" w:after="80"/>
              <w:ind w:left="1305"/>
              <w:jc w:val="center"/>
              <w:rPr>
                <w:rFonts w:ascii="Aptos Display" w:eastAsia="Aptos Display" w:hAnsi="Aptos Display" w:cs="Aptos Display"/>
                <w:bCs/>
                <w:color w:val="0F4761"/>
                <w:sz w:val="22"/>
                <w:szCs w:val="22"/>
              </w:rPr>
            </w:pPr>
            <w:bookmarkStart w:id="161" w:name="_Toc217317847"/>
            <w:bookmarkStart w:id="162" w:name="_Toc217405510"/>
            <w:r w:rsidRPr="17C1BCCD">
              <w:rPr>
                <w:rFonts w:ascii="Aptos Display" w:eastAsia="Aptos Display" w:hAnsi="Aptos Display" w:cs="Aptos Display"/>
                <w:bCs/>
                <w:color w:val="0F4761"/>
                <w:sz w:val="22"/>
                <w:szCs w:val="22"/>
              </w:rPr>
              <w:t>Bush Nursing Centres (15)</w:t>
            </w:r>
            <w:bookmarkEnd w:id="161"/>
            <w:bookmarkEnd w:id="162"/>
          </w:p>
        </w:tc>
      </w:tr>
      <w:tr w:rsidR="00CB00FD" w14:paraId="18BDD921"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32002BCF" w14:textId="77777777" w:rsidR="00CB00FD" w:rsidRDefault="00CB00FD" w:rsidP="00CB00FD">
            <w:pPr>
              <w:spacing w:after="0"/>
              <w:rPr>
                <w:rFonts w:ascii="Aptos" w:eastAsia="Aptos" w:hAnsi="Aptos" w:cs="Aptos"/>
              </w:rPr>
            </w:pPr>
            <w:r w:rsidRPr="17C1BCCD">
              <w:rPr>
                <w:rFonts w:ascii="Aptos" w:eastAsia="Aptos" w:hAnsi="Aptos" w:cs="Aptos"/>
              </w:rPr>
              <w:t xml:space="preserve">Balmoral Bush Nursing Centre </w:t>
            </w:r>
          </w:p>
        </w:tc>
        <w:tc>
          <w:tcPr>
            <w:tcW w:w="3066" w:type="dxa"/>
            <w:tcBorders>
              <w:top w:val="nil"/>
              <w:left w:val="single" w:sz="8" w:space="0" w:color="auto"/>
              <w:bottom w:val="single" w:sz="8" w:space="0" w:color="auto"/>
              <w:right w:val="single" w:sz="8" w:space="0" w:color="auto"/>
            </w:tcBorders>
            <w:tcMar>
              <w:left w:w="108" w:type="dxa"/>
              <w:right w:w="108" w:type="dxa"/>
            </w:tcMar>
          </w:tcPr>
          <w:p w14:paraId="4B9D72CC" w14:textId="77777777" w:rsidR="00CB00FD" w:rsidRDefault="00CB00FD" w:rsidP="00CB00FD">
            <w:pPr>
              <w:spacing w:after="0"/>
              <w:rPr>
                <w:rFonts w:ascii="Aptos" w:eastAsia="Aptos" w:hAnsi="Aptos" w:cs="Aptos"/>
              </w:rPr>
            </w:pPr>
            <w:r w:rsidRPr="17C1BCCD">
              <w:rPr>
                <w:rFonts w:ascii="Aptos" w:eastAsia="Aptos" w:hAnsi="Aptos" w:cs="Aptos"/>
              </w:rPr>
              <w:t xml:space="preserve">Buchan Bush Nursing Centre  </w:t>
            </w:r>
          </w:p>
        </w:tc>
        <w:tc>
          <w:tcPr>
            <w:tcW w:w="3114" w:type="dxa"/>
            <w:tcBorders>
              <w:top w:val="nil"/>
              <w:left w:val="single" w:sz="8" w:space="0" w:color="auto"/>
              <w:bottom w:val="single" w:sz="8" w:space="0" w:color="auto"/>
              <w:right w:val="single" w:sz="8" w:space="0" w:color="auto"/>
            </w:tcBorders>
            <w:tcMar>
              <w:left w:w="108" w:type="dxa"/>
              <w:right w:w="108" w:type="dxa"/>
            </w:tcMar>
          </w:tcPr>
          <w:p w14:paraId="7249EAB3" w14:textId="77777777" w:rsidR="00CB00FD" w:rsidRDefault="00CB00FD" w:rsidP="00F85AFC">
            <w:pPr>
              <w:spacing w:after="0"/>
              <w:rPr>
                <w:rFonts w:ascii="Aptos" w:eastAsia="Aptos" w:hAnsi="Aptos" w:cs="Aptos"/>
              </w:rPr>
            </w:pPr>
            <w:r w:rsidRPr="17C1BCCD">
              <w:rPr>
                <w:rFonts w:ascii="Aptos" w:eastAsia="Aptos" w:hAnsi="Aptos" w:cs="Aptos"/>
              </w:rPr>
              <w:t xml:space="preserve">Cann Valley Bush Nursing Centre </w:t>
            </w:r>
          </w:p>
        </w:tc>
      </w:tr>
      <w:tr w:rsidR="00CB00FD" w14:paraId="5CF23041"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463F8375" w14:textId="77777777" w:rsidR="00CB00FD" w:rsidRDefault="00CB00FD" w:rsidP="00CB00FD">
            <w:pPr>
              <w:spacing w:after="0"/>
              <w:rPr>
                <w:rFonts w:ascii="Aptos" w:eastAsia="Aptos" w:hAnsi="Aptos" w:cs="Aptos"/>
              </w:rPr>
            </w:pPr>
            <w:r w:rsidRPr="17C1BCCD">
              <w:rPr>
                <w:rFonts w:ascii="Aptos" w:eastAsia="Aptos" w:hAnsi="Aptos" w:cs="Aptos"/>
              </w:rPr>
              <w:t xml:space="preserve">Dargo Bush Nursing Centre  </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tcPr>
          <w:p w14:paraId="0DA2E963" w14:textId="77777777" w:rsidR="00CB00FD" w:rsidRDefault="00CB00FD" w:rsidP="00F85AFC">
            <w:pPr>
              <w:spacing w:after="0"/>
              <w:rPr>
                <w:rFonts w:ascii="Aptos" w:eastAsia="Aptos" w:hAnsi="Aptos" w:cs="Aptos"/>
              </w:rPr>
            </w:pPr>
            <w:r w:rsidRPr="17C1BCCD">
              <w:rPr>
                <w:rFonts w:ascii="Aptos" w:eastAsia="Aptos" w:hAnsi="Aptos" w:cs="Aptos"/>
              </w:rPr>
              <w:t xml:space="preserve">Dartmoor &amp; District Bush Nursing Centre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14:paraId="3DE03230" w14:textId="77777777" w:rsidR="00CB00FD" w:rsidRDefault="00CB00FD" w:rsidP="00CB00FD">
            <w:pPr>
              <w:spacing w:after="0"/>
              <w:rPr>
                <w:rFonts w:ascii="Aptos" w:eastAsia="Aptos" w:hAnsi="Aptos" w:cs="Aptos"/>
              </w:rPr>
            </w:pPr>
            <w:r w:rsidRPr="17C1BCCD">
              <w:rPr>
                <w:rFonts w:ascii="Aptos" w:eastAsia="Aptos" w:hAnsi="Aptos" w:cs="Aptos"/>
              </w:rPr>
              <w:t xml:space="preserve">Dingee Bush Nursing Centre </w:t>
            </w:r>
          </w:p>
        </w:tc>
      </w:tr>
      <w:tr w:rsidR="00CB00FD" w14:paraId="2DC900F1"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52321F21" w14:textId="77777777" w:rsidR="00CB00FD" w:rsidRDefault="00CB00FD" w:rsidP="00F85AFC">
            <w:pPr>
              <w:spacing w:after="0"/>
              <w:rPr>
                <w:rFonts w:ascii="Aptos" w:eastAsia="Aptos" w:hAnsi="Aptos" w:cs="Aptos"/>
              </w:rPr>
            </w:pPr>
            <w:r w:rsidRPr="17C1BCCD">
              <w:rPr>
                <w:rFonts w:ascii="Aptos" w:eastAsia="Aptos" w:hAnsi="Aptos" w:cs="Aptos"/>
              </w:rPr>
              <w:t>Elmhurst Bush Nursing Centre</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tcPr>
          <w:p w14:paraId="67E115F2" w14:textId="77777777" w:rsidR="00CB00FD" w:rsidRDefault="00CB00FD" w:rsidP="00CB00FD">
            <w:pPr>
              <w:spacing w:after="0"/>
              <w:rPr>
                <w:rFonts w:ascii="Aptos" w:eastAsia="Aptos" w:hAnsi="Aptos" w:cs="Aptos"/>
              </w:rPr>
            </w:pPr>
            <w:r w:rsidRPr="17C1BCCD">
              <w:rPr>
                <w:rFonts w:ascii="Aptos" w:eastAsia="Aptos" w:hAnsi="Aptos" w:cs="Aptos"/>
              </w:rPr>
              <w:t xml:space="preserve">Ensay Bush Nursing Centre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14:paraId="4113C067" w14:textId="77777777" w:rsidR="00CB00FD" w:rsidRDefault="00CB00FD" w:rsidP="00F85AFC">
            <w:pPr>
              <w:spacing w:after="0"/>
              <w:rPr>
                <w:rFonts w:ascii="Aptos" w:eastAsia="Aptos" w:hAnsi="Aptos" w:cs="Aptos"/>
              </w:rPr>
            </w:pPr>
            <w:r w:rsidRPr="17C1BCCD">
              <w:rPr>
                <w:rFonts w:ascii="Aptos" w:eastAsia="Aptos" w:hAnsi="Aptos" w:cs="Aptos"/>
              </w:rPr>
              <w:t xml:space="preserve">Gelantipy District Bush Nursing Centre </w:t>
            </w:r>
          </w:p>
        </w:tc>
      </w:tr>
      <w:tr w:rsidR="00CB00FD" w14:paraId="7DB1099E"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1335E902" w14:textId="77777777" w:rsidR="00CB00FD" w:rsidRDefault="00CB00FD" w:rsidP="00CB00FD">
            <w:pPr>
              <w:spacing w:after="0"/>
              <w:rPr>
                <w:rFonts w:ascii="Aptos" w:eastAsia="Aptos" w:hAnsi="Aptos" w:cs="Aptos"/>
              </w:rPr>
            </w:pPr>
            <w:r w:rsidRPr="17C1BCCD">
              <w:rPr>
                <w:rFonts w:ascii="Aptos" w:eastAsia="Aptos" w:hAnsi="Aptos" w:cs="Aptos"/>
              </w:rPr>
              <w:t xml:space="preserve">Harrow Bush Nursing Centre </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tcPr>
          <w:p w14:paraId="1638A1D5" w14:textId="77777777" w:rsidR="00CB00FD" w:rsidRDefault="00CB00FD" w:rsidP="00F85AFC">
            <w:pPr>
              <w:spacing w:after="0"/>
              <w:rPr>
                <w:rFonts w:ascii="Aptos" w:eastAsia="Aptos" w:hAnsi="Aptos" w:cs="Aptos"/>
              </w:rPr>
            </w:pPr>
            <w:r w:rsidRPr="71BBB938">
              <w:rPr>
                <w:rFonts w:ascii="Aptos" w:eastAsia="Aptos" w:hAnsi="Aptos" w:cs="Aptos"/>
              </w:rPr>
              <w:t xml:space="preserve">Lake Bolac Bush Nursing Centre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14:paraId="15A53363" w14:textId="77777777" w:rsidR="00CB00FD" w:rsidRDefault="00CB00FD" w:rsidP="00F85AFC">
            <w:pPr>
              <w:spacing w:after="0"/>
              <w:rPr>
                <w:rFonts w:ascii="Aptos" w:eastAsia="Aptos" w:hAnsi="Aptos" w:cs="Aptos"/>
              </w:rPr>
            </w:pPr>
            <w:r w:rsidRPr="17C1BCCD">
              <w:rPr>
                <w:rFonts w:ascii="Aptos" w:eastAsia="Aptos" w:hAnsi="Aptos" w:cs="Aptos"/>
              </w:rPr>
              <w:t xml:space="preserve">Lockington &amp; District Bush Nursing Centre </w:t>
            </w:r>
          </w:p>
        </w:tc>
      </w:tr>
      <w:tr w:rsidR="00CB00FD" w14:paraId="6D3A0D43"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0BCAFC7F" w14:textId="77777777" w:rsidR="00CB00FD" w:rsidRDefault="00CB00FD" w:rsidP="00F85AFC">
            <w:pPr>
              <w:spacing w:after="0"/>
              <w:rPr>
                <w:rFonts w:ascii="Aptos" w:eastAsia="Aptos" w:hAnsi="Aptos" w:cs="Aptos"/>
              </w:rPr>
            </w:pPr>
            <w:r w:rsidRPr="17C1BCCD">
              <w:rPr>
                <w:rFonts w:ascii="Aptos" w:eastAsia="Aptos" w:hAnsi="Aptos" w:cs="Aptos"/>
              </w:rPr>
              <w:lastRenderedPageBreak/>
              <w:t>Swifts Creek Bush Nursing Centre</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tcPr>
          <w:p w14:paraId="05453EA0" w14:textId="77777777" w:rsidR="00CB00FD" w:rsidRDefault="00CB00FD" w:rsidP="00CB00FD">
            <w:pPr>
              <w:spacing w:after="0"/>
              <w:rPr>
                <w:rFonts w:ascii="Aptos" w:eastAsia="Aptos" w:hAnsi="Aptos" w:cs="Aptos"/>
              </w:rPr>
            </w:pPr>
            <w:r w:rsidRPr="17C1BCCD">
              <w:rPr>
                <w:rFonts w:ascii="Aptos" w:eastAsia="Aptos" w:hAnsi="Aptos" w:cs="Aptos"/>
              </w:rPr>
              <w:t xml:space="preserve">Walwa Bush Nursing Centre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14:paraId="4C80333A" w14:textId="77777777" w:rsidR="00CB00FD" w:rsidRDefault="00CB00FD" w:rsidP="00F85AFC">
            <w:pPr>
              <w:spacing w:after="0"/>
              <w:rPr>
                <w:rFonts w:ascii="Aptos" w:eastAsia="Aptos" w:hAnsi="Aptos" w:cs="Aptos"/>
              </w:rPr>
            </w:pPr>
            <w:r w:rsidRPr="17C1BCCD">
              <w:rPr>
                <w:rFonts w:ascii="Aptos" w:eastAsia="Aptos" w:hAnsi="Aptos" w:cs="Aptos"/>
              </w:rPr>
              <w:t xml:space="preserve">Woomelang &amp; District Bush Nursing Centre </w:t>
            </w:r>
          </w:p>
        </w:tc>
      </w:tr>
      <w:tr w:rsidR="00CB00FD" w14:paraId="2C6EFC98" w14:textId="77777777" w:rsidTr="00CB00FD">
        <w:trPr>
          <w:trHeight w:val="372"/>
        </w:trPr>
        <w:tc>
          <w:tcPr>
            <w:tcW w:w="934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1BB155" w14:textId="77777777" w:rsidR="00CB00FD" w:rsidRDefault="00CB00FD" w:rsidP="00CB00FD">
            <w:pPr>
              <w:pStyle w:val="Heading2"/>
              <w:numPr>
                <w:ilvl w:val="0"/>
                <w:numId w:val="0"/>
              </w:numPr>
              <w:spacing w:before="160" w:after="80"/>
              <w:ind w:left="1305"/>
              <w:jc w:val="center"/>
              <w:rPr>
                <w:rFonts w:ascii="Aptos Display" w:eastAsia="Aptos Display" w:hAnsi="Aptos Display" w:cs="Aptos Display"/>
                <w:bCs/>
                <w:color w:val="0F4761"/>
                <w:sz w:val="22"/>
                <w:szCs w:val="22"/>
              </w:rPr>
            </w:pPr>
            <w:bookmarkStart w:id="163" w:name="_Toc217317848"/>
            <w:bookmarkStart w:id="164" w:name="_Toc217405511"/>
            <w:r w:rsidRPr="17C1BCCD">
              <w:rPr>
                <w:rFonts w:ascii="Aptos Display" w:eastAsia="Aptos Display" w:hAnsi="Aptos Display" w:cs="Aptos Display"/>
                <w:bCs/>
                <w:color w:val="0F4761"/>
                <w:sz w:val="22"/>
                <w:szCs w:val="22"/>
              </w:rPr>
              <w:t>Women’s Health Services (5)</w:t>
            </w:r>
            <w:bookmarkEnd w:id="163"/>
            <w:bookmarkEnd w:id="164"/>
          </w:p>
        </w:tc>
      </w:tr>
      <w:tr w:rsidR="00CB00FD" w14:paraId="30128E6D"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38DD3095" w14:textId="77777777" w:rsidR="00CB00FD" w:rsidRDefault="00CB00FD" w:rsidP="00F85AFC">
            <w:pPr>
              <w:spacing w:after="0"/>
              <w:rPr>
                <w:rFonts w:ascii="Aptos" w:eastAsia="Aptos" w:hAnsi="Aptos" w:cs="Aptos"/>
              </w:rPr>
            </w:pPr>
            <w:r w:rsidRPr="17C1BCCD">
              <w:rPr>
                <w:rFonts w:ascii="Aptos" w:eastAsia="Aptos" w:hAnsi="Aptos" w:cs="Aptos"/>
              </w:rPr>
              <w:t xml:space="preserve">Gippsland Women’s Health Service Inc </w:t>
            </w:r>
          </w:p>
        </w:tc>
        <w:tc>
          <w:tcPr>
            <w:tcW w:w="3066" w:type="dxa"/>
            <w:tcBorders>
              <w:top w:val="nil"/>
              <w:left w:val="single" w:sz="8" w:space="0" w:color="auto"/>
              <w:bottom w:val="single" w:sz="8" w:space="0" w:color="auto"/>
              <w:right w:val="single" w:sz="8" w:space="0" w:color="auto"/>
            </w:tcBorders>
            <w:tcMar>
              <w:left w:w="108" w:type="dxa"/>
              <w:right w:w="108" w:type="dxa"/>
            </w:tcMar>
          </w:tcPr>
          <w:p w14:paraId="189D840C" w14:textId="77777777" w:rsidR="00CB00FD" w:rsidRDefault="00CB00FD" w:rsidP="00F85AFC">
            <w:pPr>
              <w:spacing w:after="0"/>
              <w:rPr>
                <w:rFonts w:ascii="Aptos" w:eastAsia="Aptos" w:hAnsi="Aptos" w:cs="Aptos"/>
              </w:rPr>
            </w:pPr>
            <w:r w:rsidRPr="17C1BCCD">
              <w:rPr>
                <w:rFonts w:ascii="Aptos" w:eastAsia="Aptos" w:hAnsi="Aptos" w:cs="Aptos"/>
              </w:rPr>
              <w:t xml:space="preserve">Women’s Health Goulburn North-East Inc </w:t>
            </w:r>
          </w:p>
        </w:tc>
        <w:tc>
          <w:tcPr>
            <w:tcW w:w="3114" w:type="dxa"/>
            <w:tcBorders>
              <w:top w:val="nil"/>
              <w:left w:val="single" w:sz="8" w:space="0" w:color="auto"/>
              <w:bottom w:val="single" w:sz="8" w:space="0" w:color="auto"/>
              <w:right w:val="single" w:sz="8" w:space="0" w:color="auto"/>
            </w:tcBorders>
            <w:tcMar>
              <w:left w:w="108" w:type="dxa"/>
              <w:right w:w="108" w:type="dxa"/>
            </w:tcMar>
          </w:tcPr>
          <w:p w14:paraId="6DDF7183" w14:textId="77777777" w:rsidR="00CB00FD" w:rsidRDefault="00CB00FD" w:rsidP="00F85AFC">
            <w:pPr>
              <w:spacing w:after="0"/>
              <w:rPr>
                <w:rFonts w:ascii="Aptos" w:eastAsia="Aptos" w:hAnsi="Aptos" w:cs="Aptos"/>
              </w:rPr>
            </w:pPr>
            <w:r w:rsidRPr="17C1BCCD">
              <w:rPr>
                <w:rFonts w:ascii="Aptos" w:eastAsia="Aptos" w:hAnsi="Aptos" w:cs="Aptos"/>
              </w:rPr>
              <w:t xml:space="preserve">Women’s Health Grampians Inc </w:t>
            </w:r>
          </w:p>
        </w:tc>
      </w:tr>
      <w:tr w:rsidR="00CB00FD" w14:paraId="7EA99039"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52EEAB5C" w14:textId="77777777" w:rsidR="00CB00FD" w:rsidRDefault="00CB00FD" w:rsidP="00F85AFC">
            <w:pPr>
              <w:spacing w:after="0"/>
              <w:rPr>
                <w:rFonts w:ascii="Aptos" w:eastAsia="Aptos" w:hAnsi="Aptos" w:cs="Aptos"/>
              </w:rPr>
            </w:pPr>
            <w:r w:rsidRPr="17C1BCCD">
              <w:rPr>
                <w:rFonts w:ascii="Aptos" w:eastAsia="Aptos" w:hAnsi="Aptos" w:cs="Aptos"/>
              </w:rPr>
              <w:t xml:space="preserve">Women’s Health Loddon Mallee Inc </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tcPr>
          <w:p w14:paraId="2930D85E" w14:textId="77777777" w:rsidR="00CB00FD" w:rsidRDefault="00CB00FD" w:rsidP="00F85AFC">
            <w:pPr>
              <w:spacing w:after="0"/>
              <w:rPr>
                <w:rFonts w:ascii="Aptos" w:eastAsia="Aptos" w:hAnsi="Aptos" w:cs="Aptos"/>
              </w:rPr>
            </w:pPr>
            <w:r w:rsidRPr="71BBB938">
              <w:rPr>
                <w:rFonts w:ascii="Aptos" w:eastAsia="Aptos" w:hAnsi="Aptos" w:cs="Aptos"/>
              </w:rPr>
              <w:t xml:space="preserve">Women’s Health and Wellbeing Barwon South West Inc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14:paraId="51E94FDC" w14:textId="77777777" w:rsidR="00CB00FD" w:rsidRDefault="00CB00FD" w:rsidP="00F85AFC">
            <w:pPr>
              <w:spacing w:after="0"/>
              <w:rPr>
                <w:rFonts w:ascii="Aptos" w:eastAsia="Aptos" w:hAnsi="Aptos" w:cs="Aptos"/>
              </w:rPr>
            </w:pPr>
            <w:r w:rsidRPr="17C1BCCD">
              <w:rPr>
                <w:rFonts w:ascii="Aptos" w:eastAsia="Aptos" w:hAnsi="Aptos" w:cs="Aptos"/>
              </w:rPr>
              <w:t xml:space="preserve"> </w:t>
            </w:r>
          </w:p>
        </w:tc>
      </w:tr>
      <w:tr w:rsidR="00CB00FD" w14:paraId="34840A54" w14:textId="77777777" w:rsidTr="00CB00FD">
        <w:trPr>
          <w:trHeight w:val="300"/>
        </w:trPr>
        <w:tc>
          <w:tcPr>
            <w:tcW w:w="934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0ECAB9" w14:textId="77777777" w:rsidR="00CB00FD" w:rsidRDefault="00CB00FD" w:rsidP="00CB00FD">
            <w:pPr>
              <w:pStyle w:val="Heading2"/>
              <w:numPr>
                <w:ilvl w:val="0"/>
                <w:numId w:val="0"/>
              </w:numPr>
              <w:spacing w:before="160" w:after="80"/>
              <w:ind w:left="1305"/>
              <w:jc w:val="center"/>
              <w:rPr>
                <w:rFonts w:ascii="Aptos Display" w:eastAsia="Aptos Display" w:hAnsi="Aptos Display" w:cs="Aptos Display"/>
                <w:bCs/>
                <w:color w:val="0F4761"/>
                <w:sz w:val="22"/>
                <w:szCs w:val="22"/>
              </w:rPr>
            </w:pPr>
            <w:bookmarkStart w:id="165" w:name="_Toc217317849"/>
            <w:bookmarkStart w:id="166" w:name="_Toc217405512"/>
            <w:r w:rsidRPr="17C1BCCD">
              <w:rPr>
                <w:rFonts w:ascii="Aptos Display" w:eastAsia="Aptos Display" w:hAnsi="Aptos Display" w:cs="Aptos Display"/>
                <w:bCs/>
                <w:color w:val="0F4761"/>
                <w:sz w:val="22"/>
                <w:szCs w:val="22"/>
              </w:rPr>
              <w:t>Publicly Funded Community Specialist Palliative Care Services (2)</w:t>
            </w:r>
            <w:bookmarkEnd w:id="165"/>
            <w:bookmarkEnd w:id="166"/>
          </w:p>
        </w:tc>
      </w:tr>
      <w:tr w:rsidR="00CB00FD" w14:paraId="39961E4A"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488CFA4D" w14:textId="77777777" w:rsidR="00CB00FD" w:rsidRDefault="00CB00FD" w:rsidP="00F85AFC">
            <w:pPr>
              <w:spacing w:after="0"/>
              <w:rPr>
                <w:rFonts w:ascii="Aptos" w:eastAsia="Aptos" w:hAnsi="Aptos" w:cs="Aptos"/>
              </w:rPr>
            </w:pPr>
            <w:r w:rsidRPr="17C1BCCD">
              <w:rPr>
                <w:rFonts w:ascii="Aptos" w:eastAsia="Aptos" w:hAnsi="Aptos" w:cs="Aptos"/>
              </w:rPr>
              <w:t xml:space="preserve">Ballarat Hospice Care Inc </w:t>
            </w:r>
          </w:p>
        </w:tc>
        <w:tc>
          <w:tcPr>
            <w:tcW w:w="3066" w:type="dxa"/>
            <w:tcBorders>
              <w:top w:val="nil"/>
              <w:left w:val="single" w:sz="8" w:space="0" w:color="auto"/>
              <w:bottom w:val="single" w:sz="8" w:space="0" w:color="auto"/>
              <w:right w:val="single" w:sz="8" w:space="0" w:color="auto"/>
            </w:tcBorders>
            <w:tcMar>
              <w:left w:w="108" w:type="dxa"/>
              <w:right w:w="108" w:type="dxa"/>
            </w:tcMar>
          </w:tcPr>
          <w:p w14:paraId="636B483E" w14:textId="77777777" w:rsidR="00CB00FD" w:rsidRDefault="00CB00FD" w:rsidP="00F85AFC">
            <w:pPr>
              <w:spacing w:after="0"/>
              <w:rPr>
                <w:rFonts w:ascii="Aptos" w:eastAsia="Aptos" w:hAnsi="Aptos" w:cs="Aptos"/>
              </w:rPr>
            </w:pPr>
            <w:r w:rsidRPr="17C1BCCD">
              <w:rPr>
                <w:rFonts w:ascii="Aptos" w:eastAsia="Aptos" w:hAnsi="Aptos" w:cs="Aptos"/>
              </w:rPr>
              <w:t xml:space="preserve">Goulburn Valley Hospice Care Service </w:t>
            </w:r>
          </w:p>
        </w:tc>
        <w:tc>
          <w:tcPr>
            <w:tcW w:w="3114" w:type="dxa"/>
            <w:tcBorders>
              <w:top w:val="nil"/>
              <w:left w:val="single" w:sz="8" w:space="0" w:color="auto"/>
              <w:bottom w:val="single" w:sz="8" w:space="0" w:color="auto"/>
              <w:right w:val="single" w:sz="8" w:space="0" w:color="auto"/>
            </w:tcBorders>
            <w:tcMar>
              <w:left w:w="108" w:type="dxa"/>
              <w:right w:w="108" w:type="dxa"/>
            </w:tcMar>
          </w:tcPr>
          <w:p w14:paraId="25BF5E6C" w14:textId="77777777" w:rsidR="00CB00FD" w:rsidRDefault="00CB00FD" w:rsidP="00F85AFC">
            <w:pPr>
              <w:spacing w:after="0"/>
              <w:rPr>
                <w:rFonts w:ascii="Aptos" w:eastAsia="Aptos" w:hAnsi="Aptos" w:cs="Aptos"/>
              </w:rPr>
            </w:pPr>
            <w:r w:rsidRPr="17C1BCCD">
              <w:rPr>
                <w:rFonts w:ascii="Aptos" w:eastAsia="Aptos" w:hAnsi="Aptos" w:cs="Aptos"/>
              </w:rPr>
              <w:t xml:space="preserve"> </w:t>
            </w:r>
          </w:p>
        </w:tc>
      </w:tr>
      <w:tr w:rsidR="00CB00FD" w14:paraId="6E10E248" w14:textId="77777777" w:rsidTr="00CB00FD">
        <w:trPr>
          <w:trHeight w:val="300"/>
        </w:trPr>
        <w:tc>
          <w:tcPr>
            <w:tcW w:w="934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14DA8B" w14:textId="77777777" w:rsidR="00CB00FD" w:rsidRDefault="00CB00FD" w:rsidP="00CB00FD">
            <w:pPr>
              <w:pStyle w:val="Heading2"/>
              <w:numPr>
                <w:ilvl w:val="0"/>
                <w:numId w:val="0"/>
              </w:numPr>
              <w:spacing w:before="160" w:after="80"/>
              <w:ind w:left="1305"/>
              <w:jc w:val="center"/>
              <w:rPr>
                <w:rFonts w:ascii="Aptos Display" w:eastAsia="Aptos Display" w:hAnsi="Aptos Display" w:cs="Aptos Display"/>
                <w:color w:val="0F4761"/>
                <w:sz w:val="20"/>
                <w:szCs w:val="20"/>
              </w:rPr>
            </w:pPr>
            <w:bookmarkStart w:id="167" w:name="_Toc217317850"/>
            <w:bookmarkStart w:id="168" w:name="_Toc217405513"/>
            <w:r w:rsidRPr="4FF56658">
              <w:rPr>
                <w:rFonts w:ascii="Aptos Display" w:eastAsia="Aptos Display" w:hAnsi="Aptos Display" w:cs="Aptos Display"/>
                <w:color w:val="0F4761"/>
                <w:sz w:val="22"/>
                <w:szCs w:val="22"/>
              </w:rPr>
              <w:t>Regional Aboriginal Community Controlled Health Organisations (20)</w:t>
            </w:r>
            <w:bookmarkEnd w:id="167"/>
            <w:bookmarkEnd w:id="168"/>
          </w:p>
        </w:tc>
      </w:tr>
      <w:tr w:rsidR="00CB00FD" w14:paraId="3873EEA7"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18C5D18E" w14:textId="77777777" w:rsidR="00CB00FD" w:rsidRDefault="00CB00FD" w:rsidP="00F85AFC">
            <w:pPr>
              <w:spacing w:after="0"/>
              <w:rPr>
                <w:rFonts w:ascii="Aptos" w:eastAsia="Aptos" w:hAnsi="Aptos" w:cs="Aptos"/>
              </w:rPr>
            </w:pPr>
            <w:r w:rsidRPr="17C1BCCD">
              <w:rPr>
                <w:rFonts w:ascii="Aptos" w:eastAsia="Aptos" w:hAnsi="Aptos" w:cs="Aptos"/>
              </w:rPr>
              <w:t xml:space="preserve">Albury Wodonga Aboriginal Health Service </w:t>
            </w:r>
          </w:p>
        </w:tc>
        <w:tc>
          <w:tcPr>
            <w:tcW w:w="3066" w:type="dxa"/>
            <w:tcBorders>
              <w:top w:val="nil"/>
              <w:left w:val="single" w:sz="8" w:space="0" w:color="auto"/>
              <w:bottom w:val="single" w:sz="8" w:space="0" w:color="auto"/>
              <w:right w:val="single" w:sz="8" w:space="0" w:color="auto"/>
            </w:tcBorders>
            <w:tcMar>
              <w:left w:w="108" w:type="dxa"/>
              <w:right w:w="108" w:type="dxa"/>
            </w:tcMar>
          </w:tcPr>
          <w:p w14:paraId="7804EF8D" w14:textId="77777777" w:rsidR="00CB00FD" w:rsidRDefault="00CB00FD" w:rsidP="00F85AFC">
            <w:pPr>
              <w:spacing w:after="0"/>
              <w:rPr>
                <w:rFonts w:ascii="Aptos" w:eastAsia="Aptos" w:hAnsi="Aptos" w:cs="Aptos"/>
              </w:rPr>
            </w:pPr>
            <w:r w:rsidRPr="17C1BCCD">
              <w:rPr>
                <w:rFonts w:ascii="Aptos" w:eastAsia="Aptos" w:hAnsi="Aptos" w:cs="Aptos"/>
              </w:rPr>
              <w:t xml:space="preserve">Ballarat and District Aboriginal Co-operative Ltd </w:t>
            </w:r>
          </w:p>
        </w:tc>
        <w:tc>
          <w:tcPr>
            <w:tcW w:w="3114" w:type="dxa"/>
            <w:tcBorders>
              <w:top w:val="nil"/>
              <w:left w:val="single" w:sz="8" w:space="0" w:color="auto"/>
              <w:bottom w:val="single" w:sz="8" w:space="0" w:color="auto"/>
              <w:right w:val="single" w:sz="8" w:space="0" w:color="auto"/>
            </w:tcBorders>
            <w:tcMar>
              <w:left w:w="108" w:type="dxa"/>
              <w:right w:w="108" w:type="dxa"/>
            </w:tcMar>
          </w:tcPr>
          <w:p w14:paraId="7066F28D" w14:textId="77777777" w:rsidR="00CB00FD" w:rsidRDefault="00CB00FD" w:rsidP="00F85AFC">
            <w:pPr>
              <w:spacing w:after="0"/>
              <w:rPr>
                <w:rFonts w:ascii="Aptos" w:eastAsia="Aptos" w:hAnsi="Aptos" w:cs="Aptos"/>
              </w:rPr>
            </w:pPr>
            <w:r w:rsidRPr="17C1BCCD">
              <w:rPr>
                <w:rFonts w:ascii="Aptos" w:eastAsia="Aptos" w:hAnsi="Aptos" w:cs="Aptos"/>
              </w:rPr>
              <w:t>Bendigo and District Aboriginal Co-operative Ltd</w:t>
            </w:r>
          </w:p>
        </w:tc>
      </w:tr>
      <w:tr w:rsidR="00CB00FD" w14:paraId="55D3C032"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52975801" w14:textId="77777777" w:rsidR="00CB00FD" w:rsidRDefault="00CB00FD" w:rsidP="00F85AFC">
            <w:pPr>
              <w:spacing w:after="0"/>
              <w:rPr>
                <w:rFonts w:ascii="Aptos" w:eastAsia="Aptos" w:hAnsi="Aptos" w:cs="Aptos"/>
              </w:rPr>
            </w:pPr>
            <w:r w:rsidRPr="71BBB938">
              <w:rPr>
                <w:rFonts w:ascii="Aptos" w:eastAsia="Aptos" w:hAnsi="Aptos" w:cs="Aptos"/>
              </w:rPr>
              <w:t xml:space="preserve">Budja Budja Aboriginal Co-operative Ltd </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tcPr>
          <w:p w14:paraId="13180851" w14:textId="77777777" w:rsidR="00CB00FD" w:rsidRDefault="00CB00FD" w:rsidP="00F85AFC">
            <w:pPr>
              <w:spacing w:after="0"/>
              <w:rPr>
                <w:rFonts w:ascii="Aptos" w:eastAsia="Aptos" w:hAnsi="Aptos" w:cs="Aptos"/>
              </w:rPr>
            </w:pPr>
            <w:r w:rsidRPr="71BBB938">
              <w:rPr>
                <w:rFonts w:ascii="Aptos" w:eastAsia="Aptos" w:hAnsi="Aptos" w:cs="Aptos"/>
              </w:rPr>
              <w:t>Dhauwurd Wurrung Elderly and Community Health Service</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14:paraId="1C03B8C3" w14:textId="77777777" w:rsidR="00CB00FD" w:rsidRDefault="00CB00FD" w:rsidP="00F85AFC">
            <w:pPr>
              <w:spacing w:after="0"/>
              <w:rPr>
                <w:rFonts w:ascii="Aptos" w:eastAsia="Aptos" w:hAnsi="Aptos" w:cs="Aptos"/>
              </w:rPr>
            </w:pPr>
            <w:r w:rsidRPr="17C1BCCD">
              <w:rPr>
                <w:rFonts w:ascii="Aptos" w:eastAsia="Aptos" w:hAnsi="Aptos" w:cs="Aptos"/>
              </w:rPr>
              <w:t xml:space="preserve">Gippsland and East Gippsland Aboriginal Co-operative Ltd </w:t>
            </w:r>
          </w:p>
        </w:tc>
      </w:tr>
      <w:tr w:rsidR="00CB00FD" w14:paraId="4445E69B"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37811036" w14:textId="77777777" w:rsidR="00CB00FD" w:rsidRDefault="00CB00FD" w:rsidP="00F85AFC">
            <w:pPr>
              <w:spacing w:after="0"/>
              <w:rPr>
                <w:rFonts w:ascii="Aptos" w:eastAsia="Aptos" w:hAnsi="Aptos" w:cs="Aptos"/>
              </w:rPr>
            </w:pPr>
            <w:r w:rsidRPr="17C1BCCD">
              <w:rPr>
                <w:rFonts w:ascii="Aptos" w:eastAsia="Aptos" w:hAnsi="Aptos" w:cs="Aptos"/>
              </w:rPr>
              <w:t xml:space="preserve">Goolum-Goolum Aboriginal Co-operative Ltd </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tcPr>
          <w:p w14:paraId="6D57BD7C" w14:textId="77777777" w:rsidR="00CB00FD" w:rsidRDefault="00CB00FD" w:rsidP="00F85AFC">
            <w:pPr>
              <w:spacing w:after="0"/>
              <w:rPr>
                <w:rFonts w:ascii="Aptos" w:eastAsia="Aptos" w:hAnsi="Aptos" w:cs="Aptos"/>
              </w:rPr>
            </w:pPr>
            <w:r w:rsidRPr="17C1BCCD">
              <w:rPr>
                <w:rFonts w:ascii="Aptos" w:eastAsia="Aptos" w:hAnsi="Aptos" w:cs="Aptos"/>
              </w:rPr>
              <w:t xml:space="preserve">Gunditjmara Aboriginal Co-operative Ltd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14:paraId="5A0D1E07" w14:textId="77777777" w:rsidR="00CB00FD" w:rsidRDefault="00CB00FD" w:rsidP="00F85AFC">
            <w:pPr>
              <w:spacing w:after="0"/>
              <w:rPr>
                <w:rFonts w:ascii="Aptos" w:eastAsia="Aptos" w:hAnsi="Aptos" w:cs="Aptos"/>
              </w:rPr>
            </w:pPr>
            <w:r w:rsidRPr="71BBB938">
              <w:rPr>
                <w:rFonts w:ascii="Aptos" w:eastAsia="Aptos" w:hAnsi="Aptos" w:cs="Aptos"/>
              </w:rPr>
              <w:t xml:space="preserve">Kirrae Health Service Inc. </w:t>
            </w:r>
          </w:p>
        </w:tc>
      </w:tr>
      <w:tr w:rsidR="00CB00FD" w14:paraId="6FB20BDA"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48ACB002" w14:textId="77777777" w:rsidR="00CB00FD" w:rsidRDefault="00CB00FD" w:rsidP="00F85AFC">
            <w:pPr>
              <w:spacing w:after="0"/>
              <w:rPr>
                <w:rFonts w:ascii="Aptos" w:eastAsia="Aptos" w:hAnsi="Aptos" w:cs="Aptos"/>
              </w:rPr>
            </w:pPr>
            <w:r w:rsidRPr="17C1BCCD">
              <w:rPr>
                <w:rFonts w:ascii="Aptos" w:eastAsia="Aptos" w:hAnsi="Aptos" w:cs="Aptos"/>
              </w:rPr>
              <w:t xml:space="preserve">Lake Tyers Health and Children’s services </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tcPr>
          <w:p w14:paraId="23E9258E" w14:textId="77777777" w:rsidR="00CB00FD" w:rsidRDefault="00CB00FD" w:rsidP="00F85AFC">
            <w:pPr>
              <w:spacing w:after="0"/>
              <w:rPr>
                <w:rFonts w:ascii="Aptos" w:eastAsia="Aptos" w:hAnsi="Aptos" w:cs="Aptos"/>
              </w:rPr>
            </w:pPr>
            <w:r w:rsidRPr="17C1BCCD">
              <w:rPr>
                <w:rFonts w:ascii="Aptos" w:eastAsia="Aptos" w:hAnsi="Aptos" w:cs="Aptos"/>
              </w:rPr>
              <w:t xml:space="preserve">Lakes Entrance Aboriginal Health Association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14:paraId="4252707C" w14:textId="77777777" w:rsidR="00CB00FD" w:rsidRDefault="00CB00FD" w:rsidP="00F85AFC">
            <w:pPr>
              <w:spacing w:after="0"/>
              <w:rPr>
                <w:rFonts w:ascii="Aptos" w:eastAsia="Aptos" w:hAnsi="Aptos" w:cs="Aptos"/>
              </w:rPr>
            </w:pPr>
            <w:r w:rsidRPr="17C1BCCD">
              <w:rPr>
                <w:rFonts w:ascii="Aptos" w:eastAsia="Aptos" w:hAnsi="Aptos" w:cs="Aptos"/>
              </w:rPr>
              <w:t xml:space="preserve">Mallee District Aboriginal Services </w:t>
            </w:r>
          </w:p>
        </w:tc>
      </w:tr>
      <w:tr w:rsidR="00CB00FD" w14:paraId="7D772B4B"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1C7D9CFD" w14:textId="77777777" w:rsidR="00CB00FD" w:rsidRDefault="00CB00FD" w:rsidP="00F85AFC">
            <w:pPr>
              <w:spacing w:after="0"/>
              <w:rPr>
                <w:rFonts w:ascii="Aptos" w:eastAsia="Aptos" w:hAnsi="Aptos" w:cs="Aptos"/>
              </w:rPr>
            </w:pPr>
            <w:r w:rsidRPr="71BBB938">
              <w:rPr>
                <w:rFonts w:ascii="Aptos" w:eastAsia="Aptos" w:hAnsi="Aptos" w:cs="Aptos"/>
              </w:rPr>
              <w:t xml:space="preserve">Moogji Aboriginal Council East Gippsland Inc </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tcPr>
          <w:p w14:paraId="19FC53E1" w14:textId="77777777" w:rsidR="00CB00FD" w:rsidRDefault="00CB00FD" w:rsidP="00F85AFC">
            <w:pPr>
              <w:spacing w:after="0"/>
              <w:rPr>
                <w:rFonts w:ascii="Aptos" w:eastAsia="Aptos" w:hAnsi="Aptos" w:cs="Aptos"/>
              </w:rPr>
            </w:pPr>
            <w:r w:rsidRPr="71BBB938">
              <w:rPr>
                <w:rFonts w:ascii="Aptos" w:eastAsia="Aptos" w:hAnsi="Aptos" w:cs="Aptos"/>
              </w:rPr>
              <w:t xml:space="preserve">Mungabareena Aboriginal Corporation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14:paraId="002A9A89" w14:textId="77777777" w:rsidR="00CB00FD" w:rsidRDefault="00CB00FD" w:rsidP="00F85AFC">
            <w:pPr>
              <w:spacing w:after="0"/>
              <w:rPr>
                <w:rFonts w:ascii="Aptos" w:eastAsia="Aptos" w:hAnsi="Aptos" w:cs="Aptos"/>
              </w:rPr>
            </w:pPr>
            <w:r w:rsidRPr="17C1BCCD">
              <w:rPr>
                <w:rFonts w:ascii="Aptos" w:eastAsia="Aptos" w:hAnsi="Aptos" w:cs="Aptos"/>
              </w:rPr>
              <w:t xml:space="preserve">Murray Valley Aboriginal Co-operative Ltd </w:t>
            </w:r>
          </w:p>
        </w:tc>
      </w:tr>
      <w:tr w:rsidR="00CB00FD" w14:paraId="39AE238C"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5FC4DEEC" w14:textId="77777777" w:rsidR="00CB00FD" w:rsidRDefault="00CB00FD" w:rsidP="00F85AFC">
            <w:pPr>
              <w:spacing w:after="0"/>
              <w:rPr>
                <w:rFonts w:ascii="Aptos" w:eastAsia="Aptos" w:hAnsi="Aptos" w:cs="Aptos"/>
              </w:rPr>
            </w:pPr>
            <w:r w:rsidRPr="71BBB938">
              <w:rPr>
                <w:rFonts w:ascii="Aptos" w:eastAsia="Aptos" w:hAnsi="Aptos" w:cs="Aptos"/>
              </w:rPr>
              <w:t xml:space="preserve">Njernda Aboriginal Corporation </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tcPr>
          <w:p w14:paraId="1EA8E392" w14:textId="77777777" w:rsidR="00CB00FD" w:rsidRDefault="00CB00FD" w:rsidP="00F85AFC">
            <w:pPr>
              <w:spacing w:after="0"/>
              <w:rPr>
                <w:rFonts w:ascii="Aptos" w:eastAsia="Aptos" w:hAnsi="Aptos" w:cs="Aptos"/>
              </w:rPr>
            </w:pPr>
            <w:r w:rsidRPr="71BBB938">
              <w:rPr>
                <w:rFonts w:ascii="Aptos" w:eastAsia="Aptos" w:hAnsi="Aptos" w:cs="Aptos"/>
              </w:rPr>
              <w:t>Ramahyuck District Aboriginal Corporation – Sale</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14:paraId="502F17BA" w14:textId="77777777" w:rsidR="00CB00FD" w:rsidRDefault="00CB00FD" w:rsidP="00F85AFC">
            <w:pPr>
              <w:spacing w:after="0"/>
              <w:rPr>
                <w:rFonts w:ascii="Aptos" w:eastAsia="Aptos" w:hAnsi="Aptos" w:cs="Aptos"/>
              </w:rPr>
            </w:pPr>
            <w:r w:rsidRPr="71BBB938">
              <w:rPr>
                <w:rFonts w:ascii="Aptos" w:eastAsia="Aptos" w:hAnsi="Aptos" w:cs="Aptos"/>
              </w:rPr>
              <w:t xml:space="preserve">Rumbalara Aboriginal Co-operative Ltd </w:t>
            </w:r>
          </w:p>
        </w:tc>
      </w:tr>
      <w:tr w:rsidR="00CB00FD" w14:paraId="1633281C" w14:textId="77777777" w:rsidTr="00F85AFC">
        <w:trPr>
          <w:trHeight w:val="300"/>
        </w:trPr>
        <w:tc>
          <w:tcPr>
            <w:tcW w:w="3165" w:type="dxa"/>
            <w:tcBorders>
              <w:top w:val="single" w:sz="8" w:space="0" w:color="auto"/>
              <w:left w:val="single" w:sz="8" w:space="0" w:color="auto"/>
              <w:bottom w:val="single" w:sz="8" w:space="0" w:color="auto"/>
              <w:right w:val="single" w:sz="8" w:space="0" w:color="auto"/>
            </w:tcBorders>
            <w:tcMar>
              <w:left w:w="108" w:type="dxa"/>
              <w:right w:w="108" w:type="dxa"/>
            </w:tcMar>
          </w:tcPr>
          <w:p w14:paraId="689677B1" w14:textId="77777777" w:rsidR="00CB00FD" w:rsidRDefault="00CB00FD" w:rsidP="00F85AFC">
            <w:pPr>
              <w:spacing w:after="0"/>
              <w:rPr>
                <w:rFonts w:ascii="Aptos" w:eastAsia="Aptos" w:hAnsi="Aptos" w:cs="Aptos"/>
              </w:rPr>
            </w:pPr>
            <w:r w:rsidRPr="17C1BCCD">
              <w:rPr>
                <w:rFonts w:ascii="Aptos" w:eastAsia="Aptos" w:hAnsi="Aptos" w:cs="Aptos"/>
              </w:rPr>
              <w:t xml:space="preserve">Wathaurong Aboriginal Co-operative Ltd </w:t>
            </w:r>
          </w:p>
        </w:tc>
        <w:tc>
          <w:tcPr>
            <w:tcW w:w="3066" w:type="dxa"/>
            <w:tcBorders>
              <w:top w:val="single" w:sz="8" w:space="0" w:color="auto"/>
              <w:left w:val="single" w:sz="8" w:space="0" w:color="auto"/>
              <w:bottom w:val="single" w:sz="8" w:space="0" w:color="auto"/>
              <w:right w:val="single" w:sz="8" w:space="0" w:color="auto"/>
            </w:tcBorders>
            <w:tcMar>
              <w:left w:w="108" w:type="dxa"/>
              <w:right w:w="108" w:type="dxa"/>
            </w:tcMar>
          </w:tcPr>
          <w:p w14:paraId="6F7AA63A" w14:textId="77777777" w:rsidR="00CB00FD" w:rsidRDefault="00CB00FD" w:rsidP="00F85AFC">
            <w:pPr>
              <w:spacing w:after="0"/>
              <w:rPr>
                <w:rFonts w:ascii="Aptos" w:eastAsia="Aptos" w:hAnsi="Aptos" w:cs="Aptos"/>
              </w:rPr>
            </w:pPr>
            <w:r w:rsidRPr="17C1BCCD">
              <w:rPr>
                <w:rFonts w:ascii="Aptos" w:eastAsia="Aptos" w:hAnsi="Aptos" w:cs="Aptos"/>
              </w:rPr>
              <w:t xml:space="preserve">Winda-Mara Aboriginal Corporation </w:t>
            </w:r>
          </w:p>
        </w:tc>
        <w:tc>
          <w:tcPr>
            <w:tcW w:w="3114" w:type="dxa"/>
            <w:tcBorders>
              <w:top w:val="single" w:sz="8" w:space="0" w:color="auto"/>
              <w:left w:val="single" w:sz="8" w:space="0" w:color="auto"/>
              <w:bottom w:val="single" w:sz="8" w:space="0" w:color="auto"/>
              <w:right w:val="single" w:sz="8" w:space="0" w:color="auto"/>
            </w:tcBorders>
            <w:tcMar>
              <w:left w:w="108" w:type="dxa"/>
              <w:right w:w="108" w:type="dxa"/>
            </w:tcMar>
          </w:tcPr>
          <w:p w14:paraId="4F47F29C" w14:textId="77777777" w:rsidR="00CB00FD" w:rsidRDefault="00CB00FD" w:rsidP="00F85AFC">
            <w:pPr>
              <w:spacing w:after="0"/>
              <w:rPr>
                <w:rFonts w:ascii="Aptos" w:eastAsia="Aptos" w:hAnsi="Aptos" w:cs="Aptos"/>
              </w:rPr>
            </w:pPr>
          </w:p>
        </w:tc>
      </w:tr>
    </w:tbl>
    <w:p w14:paraId="4396810E" w14:textId="77777777" w:rsidR="00986791" w:rsidRDefault="00986791" w:rsidP="00986791">
      <w:pPr>
        <w:pStyle w:val="Heading7"/>
        <w:pageBreakBefore/>
      </w:pPr>
      <w:bookmarkStart w:id="169" w:name="_Toc217405514"/>
      <w:r>
        <w:lastRenderedPageBreak/>
        <w:t>Construction Projects in Victoria – references and links</w:t>
      </w:r>
      <w:bookmarkEnd w:id="169"/>
      <w:r>
        <w:t xml:space="preserve"> </w:t>
      </w:r>
    </w:p>
    <w:p w14:paraId="7FE1C97A" w14:textId="77777777" w:rsidR="00CB00FD" w:rsidRPr="008D1755" w:rsidRDefault="00CB00FD" w:rsidP="00CB00FD">
      <w:pPr>
        <w:spacing w:before="0"/>
        <w:rPr>
          <w:rFonts w:cs="Arial"/>
        </w:rPr>
      </w:pPr>
      <w:r w:rsidRPr="71BBB938">
        <w:rPr>
          <w:rFonts w:cs="Arial"/>
        </w:rPr>
        <w:t>The following sites are resources that can help you with your submission and provide resources to assist with an overview of the requirements for government funded projects in Victoria.</w:t>
      </w:r>
    </w:p>
    <w:p w14:paraId="13FB53E5" w14:textId="77777777" w:rsidR="00CB00FD" w:rsidRPr="008D1755" w:rsidRDefault="00CB00FD" w:rsidP="00CB00FD">
      <w:pPr>
        <w:pStyle w:val="Heading2"/>
        <w:numPr>
          <w:ilvl w:val="0"/>
          <w:numId w:val="0"/>
        </w:numPr>
        <w:spacing w:before="0" w:after="0"/>
      </w:pPr>
      <w:bookmarkStart w:id="170" w:name="_Toc103767419"/>
      <w:bookmarkStart w:id="171" w:name="_Toc103767462"/>
      <w:bookmarkStart w:id="172" w:name="_Toc105427777"/>
      <w:bookmarkStart w:id="173" w:name="_Toc217317852"/>
      <w:bookmarkStart w:id="174" w:name="_Toc217405515"/>
      <w:r>
        <w:t>Department of Health website</w:t>
      </w:r>
      <w:bookmarkEnd w:id="170"/>
      <w:bookmarkEnd w:id="171"/>
      <w:bookmarkEnd w:id="172"/>
      <w:bookmarkEnd w:id="173"/>
      <w:bookmarkEnd w:id="174"/>
    </w:p>
    <w:p w14:paraId="2BCE345C" w14:textId="77777777" w:rsidR="00CB00FD" w:rsidRPr="008D1755" w:rsidRDefault="00CB00FD" w:rsidP="00CB00FD">
      <w:pPr>
        <w:pStyle w:val="VHBAbody"/>
        <w:spacing w:after="0"/>
        <w:rPr>
          <w:rFonts w:cs="Arial"/>
        </w:rPr>
      </w:pPr>
      <w:hyperlink r:id="rId40">
        <w:r w:rsidRPr="74A2BDFB">
          <w:rPr>
            <w:rStyle w:val="Hyperlink"/>
            <w:rFonts w:cs="Arial"/>
          </w:rPr>
          <w:t>Australasian Health Facility Guidelines</w:t>
        </w:r>
      </w:hyperlink>
      <w:r w:rsidRPr="74A2BDFB">
        <w:rPr>
          <w:rFonts w:cs="Arial"/>
        </w:rPr>
        <w:t xml:space="preserve"> &lt;https://healthfacilityguidelines.com.au/&gt; </w:t>
      </w:r>
    </w:p>
    <w:p w14:paraId="20BB81CB" w14:textId="77777777" w:rsidR="00CB00FD" w:rsidRPr="008D1755" w:rsidRDefault="00CB00FD" w:rsidP="00CB00FD">
      <w:pPr>
        <w:spacing w:before="0" w:after="0"/>
        <w:rPr>
          <w:rFonts w:cs="Arial"/>
        </w:rPr>
      </w:pPr>
      <w:hyperlink r:id="rId41">
        <w:r w:rsidRPr="74A2BDFB">
          <w:rPr>
            <w:rStyle w:val="Hyperlink"/>
          </w:rPr>
          <w:t>Fire risk management procedures and guidelines</w:t>
        </w:r>
      </w:hyperlink>
      <w:r>
        <w:t xml:space="preserve"> &lt; https://providers.dffh.vic.gov.au/fire-risk-management-procedures-and-guidelines&gt; </w:t>
      </w:r>
    </w:p>
    <w:p w14:paraId="546F1074" w14:textId="77777777" w:rsidR="00CB00FD" w:rsidRPr="008D1755" w:rsidRDefault="00CB00FD" w:rsidP="00CB00FD">
      <w:pPr>
        <w:pStyle w:val="Heading2"/>
        <w:numPr>
          <w:ilvl w:val="0"/>
          <w:numId w:val="0"/>
        </w:numPr>
        <w:spacing w:before="0" w:after="0"/>
      </w:pPr>
      <w:bookmarkStart w:id="175" w:name="_Toc103767420"/>
      <w:bookmarkStart w:id="176" w:name="_Toc103767463"/>
      <w:bookmarkStart w:id="177" w:name="_Toc105427778"/>
      <w:bookmarkStart w:id="178" w:name="_Toc217317853"/>
      <w:bookmarkStart w:id="179" w:name="_Toc217405516"/>
      <w:r>
        <w:t>Victorian Health Building Authority website</w:t>
      </w:r>
      <w:bookmarkEnd w:id="175"/>
      <w:bookmarkEnd w:id="176"/>
      <w:bookmarkEnd w:id="177"/>
      <w:bookmarkEnd w:id="178"/>
      <w:bookmarkEnd w:id="179"/>
    </w:p>
    <w:p w14:paraId="43D70576" w14:textId="77777777" w:rsidR="00CB00FD" w:rsidRPr="002E0677" w:rsidRDefault="00CB00FD" w:rsidP="00CB00FD">
      <w:pPr>
        <w:pStyle w:val="VHBAbody"/>
        <w:spacing w:after="0"/>
      </w:pPr>
      <w:hyperlink r:id="rId42" w:history="1">
        <w:r w:rsidRPr="002E0677">
          <w:rPr>
            <w:rStyle w:val="Hyperlink"/>
          </w:rPr>
          <w:t>VHBA RHIF page</w:t>
        </w:r>
      </w:hyperlink>
      <w:r w:rsidRPr="008D1755">
        <w:t xml:space="preserve"> </w:t>
      </w:r>
      <w:r w:rsidRPr="002E0677">
        <w:t xml:space="preserve">&lt;https://www.vhba.vic.gov.au/health/regional-facilities/regional-health-infrastructure-fund&gt;  </w:t>
      </w:r>
    </w:p>
    <w:p w14:paraId="2AF9591C" w14:textId="77777777" w:rsidR="00CB00FD" w:rsidRPr="002E0677" w:rsidRDefault="00CB00FD" w:rsidP="00CB00FD">
      <w:pPr>
        <w:pStyle w:val="VHBAbody"/>
        <w:spacing w:after="0"/>
      </w:pPr>
      <w:hyperlink r:id="rId43" w:history="1">
        <w:r w:rsidRPr="002E0677">
          <w:rPr>
            <w:rStyle w:val="Hyperlink"/>
          </w:rPr>
          <w:t>Design guidelines</w:t>
        </w:r>
      </w:hyperlink>
      <w:r w:rsidRPr="002E0677">
        <w:t xml:space="preserve"> &lt;https://www.vhba.vic.gov.au/resources/design-guidelines&gt;</w:t>
      </w:r>
      <w:r>
        <w:t xml:space="preserve">  </w:t>
      </w:r>
    </w:p>
    <w:p w14:paraId="3ADC4776" w14:textId="77777777" w:rsidR="00CB00FD" w:rsidRPr="00944227" w:rsidRDefault="00CB00FD" w:rsidP="00CB00FD">
      <w:pPr>
        <w:pStyle w:val="VHBAbody"/>
        <w:spacing w:after="0"/>
      </w:pPr>
      <w:hyperlink r:id="rId44" w:history="1">
        <w:r w:rsidRPr="002E0677">
          <w:rPr>
            <w:rStyle w:val="Hyperlink"/>
            <w:rFonts w:ascii="Arial" w:hAnsi="Arial" w:cs="Arial"/>
          </w:rPr>
          <w:t>Universal design guidelines</w:t>
        </w:r>
      </w:hyperlink>
      <w:r w:rsidRPr="008D1755">
        <w:rPr>
          <w:color w:val="0563C1"/>
        </w:rPr>
        <w:t xml:space="preserve"> </w:t>
      </w:r>
      <w:r w:rsidRPr="00944227">
        <w:t xml:space="preserve">&lt;https://www.vhba.vic.gov.au/resources/universal-design&gt;  </w:t>
      </w:r>
    </w:p>
    <w:p w14:paraId="2FAE4DDD" w14:textId="77777777" w:rsidR="00CB00FD" w:rsidRPr="00944227" w:rsidRDefault="00CB00FD" w:rsidP="00CB00FD">
      <w:pPr>
        <w:pStyle w:val="VHBAbody"/>
        <w:spacing w:after="0"/>
      </w:pPr>
      <w:hyperlink r:id="rId45" w:history="1">
        <w:r w:rsidRPr="002E0677">
          <w:rPr>
            <w:rStyle w:val="Hyperlink"/>
            <w:rFonts w:ascii="Arial" w:hAnsi="Arial" w:cs="Arial"/>
          </w:rPr>
          <w:t>Technical guidelines</w:t>
        </w:r>
      </w:hyperlink>
      <w:r w:rsidRPr="008D1755">
        <w:rPr>
          <w:color w:val="0563C1"/>
        </w:rPr>
        <w:t xml:space="preserve"> </w:t>
      </w:r>
      <w:r w:rsidRPr="00944227">
        <w:t xml:space="preserve">&lt;https://www.vhba.vic.gov.au/resources/technical-guidelines&gt;  </w:t>
      </w:r>
    </w:p>
    <w:p w14:paraId="4CEDE283" w14:textId="77777777" w:rsidR="00CB00FD" w:rsidRPr="00944227" w:rsidRDefault="00CB00FD" w:rsidP="00CB00FD">
      <w:pPr>
        <w:pStyle w:val="VHBAbody"/>
        <w:spacing w:after="0"/>
      </w:pPr>
      <w:hyperlink r:id="rId46">
        <w:r w:rsidRPr="74A2BDFB">
          <w:rPr>
            <w:rStyle w:val="Hyperlink"/>
            <w:rFonts w:ascii="Arial" w:hAnsi="Arial" w:cs="Arial"/>
          </w:rPr>
          <w:t xml:space="preserve">Masterplanning guidelines </w:t>
        </w:r>
      </w:hyperlink>
      <w:r w:rsidRPr="74A2BDFB">
        <w:rPr>
          <w:rFonts w:ascii="Arial" w:hAnsi="Arial" w:cs="Arial"/>
        </w:rPr>
        <w:t xml:space="preserve"> </w:t>
      </w:r>
      <w:r>
        <w:t xml:space="preserve">&lt;https://www.vhba.vic.gov.au/masterplanning&gt;  </w:t>
      </w:r>
    </w:p>
    <w:p w14:paraId="5D17A384" w14:textId="77777777" w:rsidR="00CB00FD" w:rsidRPr="00944227" w:rsidRDefault="00CB00FD" w:rsidP="00CB00FD">
      <w:pPr>
        <w:pStyle w:val="VHBAbody"/>
        <w:spacing w:after="0"/>
      </w:pPr>
      <w:hyperlink r:id="rId47" w:history="1">
        <w:r w:rsidRPr="002E0677">
          <w:rPr>
            <w:rStyle w:val="Hyperlink"/>
          </w:rPr>
          <w:t>Public sector residential aged care services [Interim] Facility design guidelines</w:t>
        </w:r>
      </w:hyperlink>
      <w:r>
        <w:rPr>
          <w:color w:val="0563C1"/>
          <w:u w:val="dotted"/>
        </w:rPr>
        <w:t xml:space="preserve"> </w:t>
      </w:r>
      <w:r w:rsidRPr="00944227">
        <w:t xml:space="preserve">&lt;https://www.vhba.vic.gov.au/public-sector-residential-aged-care-services-interim-facility-design-guidelines&gt;  </w:t>
      </w:r>
    </w:p>
    <w:p w14:paraId="6EE8D651" w14:textId="77777777" w:rsidR="00CB00FD" w:rsidRPr="008D1755" w:rsidRDefault="00CB00FD" w:rsidP="00CB00FD">
      <w:pPr>
        <w:pStyle w:val="Heading2"/>
        <w:numPr>
          <w:ilvl w:val="0"/>
          <w:numId w:val="0"/>
        </w:numPr>
        <w:spacing w:before="0" w:after="0"/>
      </w:pPr>
      <w:bookmarkStart w:id="180" w:name="_Toc103767421"/>
      <w:bookmarkStart w:id="181" w:name="_Toc103767464"/>
      <w:bookmarkStart w:id="182" w:name="_Toc105427779"/>
      <w:bookmarkStart w:id="183" w:name="_Toc217317854"/>
      <w:bookmarkStart w:id="184" w:name="_Toc217405517"/>
      <w:r>
        <w:t>Department of Treasury and Finance website</w:t>
      </w:r>
      <w:bookmarkEnd w:id="180"/>
      <w:bookmarkEnd w:id="181"/>
      <w:bookmarkEnd w:id="182"/>
      <w:bookmarkEnd w:id="183"/>
      <w:bookmarkEnd w:id="184"/>
    </w:p>
    <w:p w14:paraId="7572D9AF" w14:textId="1ED2C94E" w:rsidR="00CB00FD" w:rsidRPr="008D1755" w:rsidRDefault="00CB00FD" w:rsidP="00CB00FD">
      <w:pPr>
        <w:spacing w:before="0" w:after="0"/>
        <w:rPr>
          <w:rFonts w:cs="Arial"/>
        </w:rPr>
      </w:pPr>
      <w:r w:rsidRPr="008D1755">
        <w:rPr>
          <w:rFonts w:cs="Arial"/>
          <w:color w:val="0563C1"/>
          <w:u w:val="dotted"/>
        </w:rPr>
        <w:t>Delivery of Government Funded projects in Victoria</w:t>
      </w:r>
      <w:r w:rsidRPr="008D1755">
        <w:rPr>
          <w:rFonts w:cs="Arial"/>
        </w:rPr>
        <w:t xml:space="preserve"> &lt;</w:t>
      </w:r>
      <w:r w:rsidR="00F14AAB" w:rsidRPr="00F14AAB">
        <w:t xml:space="preserve"> </w:t>
      </w:r>
      <w:hyperlink r:id="rId48" w:history="1">
        <w:r w:rsidR="00F14AAB" w:rsidRPr="0017666F">
          <w:rPr>
            <w:rStyle w:val="Hyperlink"/>
            <w:rFonts w:cs="Arial"/>
          </w:rPr>
          <w:t>https://www.dtf.vic.gov.au/legislation-policy-and-public-construction</w:t>
        </w:r>
      </w:hyperlink>
      <w:r w:rsidRPr="00AD4F56">
        <w:rPr>
          <w:rFonts w:cs="Arial"/>
        </w:rPr>
        <w:t xml:space="preserve"> </w:t>
      </w:r>
      <w:r w:rsidRPr="008D1755">
        <w:rPr>
          <w:rFonts w:cs="Arial"/>
        </w:rPr>
        <w:t>&gt;</w:t>
      </w:r>
      <w:r>
        <w:rPr>
          <w:rFonts w:cs="Arial"/>
        </w:rPr>
        <w:t xml:space="preserve">  </w:t>
      </w:r>
    </w:p>
    <w:p w14:paraId="5215FCF1" w14:textId="77777777" w:rsidR="00CB00FD" w:rsidRPr="008D1755" w:rsidRDefault="00CB00FD" w:rsidP="00CB00FD">
      <w:pPr>
        <w:spacing w:before="0" w:after="0"/>
        <w:rPr>
          <w:rFonts w:ascii="Arial" w:eastAsia="Times New Roman" w:hAnsi="Arial" w:cs="Arial"/>
          <w:u w:val="dotted"/>
        </w:rPr>
      </w:pPr>
      <w:hyperlink r:id="rId49" w:history="1">
        <w:r w:rsidRPr="008D1755">
          <w:rPr>
            <w:rFonts w:ascii="Arial" w:hAnsi="Arial" w:cs="Arial"/>
            <w:color w:val="0074BC"/>
            <w:u w:val="dotted"/>
          </w:rPr>
          <w:t>Ministerial Directions and Instructions – Public Construction Procurement</w:t>
        </w:r>
      </w:hyperlink>
      <w:r w:rsidRPr="008D1755">
        <w:rPr>
          <w:rFonts w:ascii="Arial" w:hAnsi="Arial" w:cs="Arial"/>
        </w:rPr>
        <w:t xml:space="preserve"> &lt;</w:t>
      </w:r>
      <w:hyperlink r:id="rId50" w:history="1">
        <w:r w:rsidRPr="008D1755">
          <w:rPr>
            <w:rFonts w:ascii="Arial" w:hAnsi="Arial" w:cs="Arial"/>
            <w:u w:val="dotted"/>
          </w:rPr>
          <w:t>https://www.dtf.vic.gov.au/public-construction-policy-and-resources/ministerial-directions-and-instructions-public-construction-procurement</w:t>
        </w:r>
      </w:hyperlink>
      <w:r w:rsidRPr="008D1755">
        <w:rPr>
          <w:rFonts w:ascii="Arial" w:hAnsi="Arial" w:cs="Arial"/>
        </w:rPr>
        <w:t>&gt;</w:t>
      </w:r>
      <w:r>
        <w:rPr>
          <w:rFonts w:ascii="Arial" w:hAnsi="Arial" w:cs="Arial"/>
        </w:rPr>
        <w:t xml:space="preserve">  </w:t>
      </w:r>
    </w:p>
    <w:p w14:paraId="309598D2" w14:textId="77777777" w:rsidR="00CB00FD" w:rsidRPr="00944227" w:rsidRDefault="00CB00FD" w:rsidP="00CB00FD">
      <w:pPr>
        <w:pStyle w:val="VHBAbody"/>
        <w:spacing w:after="0"/>
      </w:pPr>
      <w:hyperlink r:id="rId51" w:history="1">
        <w:r w:rsidRPr="008D1755">
          <w:rPr>
            <w:color w:val="0563C1"/>
            <w:u w:val="dotted"/>
          </w:rPr>
          <w:t>Practitioners Toolkit</w:t>
        </w:r>
      </w:hyperlink>
      <w:r w:rsidRPr="008D1755">
        <w:t xml:space="preserve"> </w:t>
      </w:r>
      <w:r w:rsidRPr="00944227">
        <w:t xml:space="preserve">&lt;https://www.dtf.vic.gov.au/public-construction-policy-and-resources/practitioners-toolkit&gt;  </w:t>
      </w:r>
    </w:p>
    <w:p w14:paraId="76148003" w14:textId="77777777" w:rsidR="00CB00FD" w:rsidRPr="008D1755" w:rsidRDefault="00CB00FD" w:rsidP="00CB00FD">
      <w:pPr>
        <w:spacing w:before="0" w:after="0"/>
        <w:rPr>
          <w:rFonts w:cs="Arial"/>
        </w:rPr>
      </w:pPr>
      <w:hyperlink r:id="rId52" w:history="1">
        <w:r w:rsidRPr="008D1755">
          <w:rPr>
            <w:rFonts w:cs="Arial"/>
            <w:color w:val="0563C1"/>
            <w:u w:val="dotted"/>
          </w:rPr>
          <w:t>Construction Supplier Register</w:t>
        </w:r>
      </w:hyperlink>
      <w:r w:rsidRPr="008D1755">
        <w:rPr>
          <w:rFonts w:cs="Arial"/>
        </w:rPr>
        <w:t xml:space="preserve"> &lt;https://www.dtf.vic.gov.au/infrastructure-investment/construction-supplier-register&gt; </w:t>
      </w:r>
      <w:r>
        <w:rPr>
          <w:rFonts w:cs="Arial"/>
        </w:rPr>
        <w:t xml:space="preserve"> </w:t>
      </w:r>
    </w:p>
    <w:p w14:paraId="0B7FD71F" w14:textId="77777777" w:rsidR="00CB00FD" w:rsidRPr="008D1755" w:rsidRDefault="00CB00FD" w:rsidP="00CB00FD">
      <w:pPr>
        <w:spacing w:before="0" w:after="0"/>
        <w:rPr>
          <w:rFonts w:cs="Arial"/>
        </w:rPr>
      </w:pPr>
      <w:hyperlink r:id="rId53" w:history="1">
        <w:r w:rsidRPr="008D1755">
          <w:rPr>
            <w:rFonts w:cs="Arial"/>
            <w:color w:val="0563C1"/>
            <w:u w:val="dotted"/>
          </w:rPr>
          <w:t>Full Business Case Template</w:t>
        </w:r>
      </w:hyperlink>
      <w:r w:rsidRPr="008D1755">
        <w:rPr>
          <w:rFonts w:cs="Arial"/>
        </w:rPr>
        <w:t xml:space="preserve"> &lt;https://www.dtf.vic.gov.au/investment-lifecycle-and-high-value-high-risk-guidelines/stage-1-business-case&gt; </w:t>
      </w:r>
      <w:r>
        <w:rPr>
          <w:rFonts w:cs="Arial"/>
        </w:rPr>
        <w:t xml:space="preserve"> </w:t>
      </w:r>
    </w:p>
    <w:p w14:paraId="426C869F" w14:textId="77777777" w:rsidR="00CB00FD" w:rsidRPr="008D1755" w:rsidRDefault="00CB00FD" w:rsidP="00CB00FD">
      <w:pPr>
        <w:pStyle w:val="Heading2"/>
        <w:numPr>
          <w:ilvl w:val="0"/>
          <w:numId w:val="0"/>
        </w:numPr>
        <w:spacing w:before="0" w:after="0"/>
      </w:pPr>
      <w:bookmarkStart w:id="185" w:name="_Toc103767422"/>
      <w:bookmarkStart w:id="186" w:name="_Toc103767465"/>
      <w:bookmarkStart w:id="187" w:name="_Toc105427780"/>
      <w:bookmarkStart w:id="188" w:name="_Toc217317855"/>
      <w:bookmarkStart w:id="189" w:name="_Toc217405518"/>
      <w:r>
        <w:t>Local Jobs First website</w:t>
      </w:r>
      <w:bookmarkEnd w:id="185"/>
      <w:bookmarkEnd w:id="186"/>
      <w:bookmarkEnd w:id="187"/>
      <w:bookmarkEnd w:id="188"/>
      <w:bookmarkEnd w:id="189"/>
    </w:p>
    <w:p w14:paraId="58754ABE" w14:textId="77777777" w:rsidR="00CB00FD" w:rsidRPr="008D1755" w:rsidRDefault="00CB00FD" w:rsidP="00CB00FD">
      <w:pPr>
        <w:spacing w:before="0" w:after="0"/>
      </w:pPr>
      <w:hyperlink r:id="rId54" w:history="1">
        <w:r w:rsidRPr="008D1755">
          <w:rPr>
            <w:color w:val="0563C1"/>
            <w:u w:val="dotted"/>
          </w:rPr>
          <w:t>Victorian Industry Participation Policy</w:t>
        </w:r>
      </w:hyperlink>
      <w:r w:rsidRPr="008D1755">
        <w:t xml:space="preserve"> &lt;https://localjobsfirst.vic.gov.au/about/local-jobs-first&gt; </w:t>
      </w:r>
    </w:p>
    <w:p w14:paraId="26C131B8" w14:textId="77777777" w:rsidR="00CB00FD" w:rsidRPr="008D1755" w:rsidRDefault="00CB00FD" w:rsidP="00CB00FD">
      <w:pPr>
        <w:spacing w:before="0" w:after="0"/>
      </w:pPr>
      <w:hyperlink r:id="rId55" w:history="1">
        <w:r w:rsidRPr="008D1755">
          <w:rPr>
            <w:color w:val="0563C1"/>
            <w:u w:val="dotted"/>
          </w:rPr>
          <w:t>Major Projects Skills Guarantee</w:t>
        </w:r>
      </w:hyperlink>
      <w:r w:rsidRPr="008D1755">
        <w:t xml:space="preserve"> &lt;https://localjobsfirst.vic.gov.au/agency-guidance/major-project-skills-guarantee&gt; </w:t>
      </w:r>
    </w:p>
    <w:p w14:paraId="5C9D1963" w14:textId="77777777" w:rsidR="00CB00FD" w:rsidRPr="008D1755" w:rsidRDefault="00CB00FD" w:rsidP="00CB00FD">
      <w:pPr>
        <w:pStyle w:val="Heading2"/>
        <w:numPr>
          <w:ilvl w:val="0"/>
          <w:numId w:val="0"/>
        </w:numPr>
        <w:spacing w:before="0" w:after="0"/>
      </w:pPr>
      <w:bookmarkStart w:id="190" w:name="_Toc103767423"/>
      <w:bookmarkStart w:id="191" w:name="_Toc103767466"/>
      <w:bookmarkStart w:id="192" w:name="_Toc105427781"/>
      <w:bookmarkStart w:id="193" w:name="_Toc217317856"/>
      <w:bookmarkStart w:id="194" w:name="_Toc217405519"/>
      <w:r>
        <w:t>Jobs Victoria website</w:t>
      </w:r>
      <w:bookmarkEnd w:id="190"/>
      <w:bookmarkEnd w:id="191"/>
      <w:bookmarkEnd w:id="192"/>
      <w:bookmarkEnd w:id="193"/>
      <w:bookmarkEnd w:id="194"/>
    </w:p>
    <w:p w14:paraId="11E3D7FD" w14:textId="77777777" w:rsidR="00CB00FD" w:rsidRPr="008D1755" w:rsidRDefault="00CB00FD" w:rsidP="00CB00FD">
      <w:pPr>
        <w:spacing w:before="0" w:after="0"/>
        <w:rPr>
          <w:rFonts w:cs="Arial"/>
        </w:rPr>
      </w:pPr>
      <w:hyperlink r:id="rId56" w:history="1">
        <w:r w:rsidRPr="008D1755">
          <w:rPr>
            <w:color w:val="0563C1"/>
            <w:u w:val="dotted"/>
          </w:rPr>
          <w:t>Working for Victoria</w:t>
        </w:r>
      </w:hyperlink>
      <w:r>
        <w:t xml:space="preserve"> </w:t>
      </w:r>
      <w:r w:rsidRPr="008D1755">
        <w:t>&lt;</w:t>
      </w:r>
      <w:r w:rsidRPr="006E5D86">
        <w:t xml:space="preserve"> https://jobs.vic.gov.au/ </w:t>
      </w:r>
      <w:r w:rsidRPr="008D1755">
        <w:t>&gt;</w:t>
      </w:r>
      <w:r>
        <w:t xml:space="preserve">   </w:t>
      </w:r>
    </w:p>
    <w:p w14:paraId="6CE1C366" w14:textId="77777777" w:rsidR="00CB00FD" w:rsidRPr="008D1755" w:rsidRDefault="00CB00FD" w:rsidP="00CB00FD">
      <w:pPr>
        <w:pStyle w:val="Heading2"/>
        <w:numPr>
          <w:ilvl w:val="0"/>
          <w:numId w:val="0"/>
        </w:numPr>
        <w:spacing w:before="0" w:after="0"/>
      </w:pPr>
      <w:bookmarkStart w:id="195" w:name="_Toc103767424"/>
      <w:bookmarkStart w:id="196" w:name="_Toc103767467"/>
      <w:bookmarkStart w:id="197" w:name="_Toc105427782"/>
      <w:bookmarkStart w:id="198" w:name="_Toc217317857"/>
      <w:bookmarkStart w:id="199" w:name="_Toc217405520"/>
      <w:r>
        <w:t>Commonwealth policies and procedures</w:t>
      </w:r>
      <w:bookmarkEnd w:id="195"/>
      <w:bookmarkEnd w:id="196"/>
      <w:bookmarkEnd w:id="197"/>
      <w:bookmarkEnd w:id="198"/>
      <w:bookmarkEnd w:id="199"/>
      <w:r>
        <w:t xml:space="preserve"> </w:t>
      </w:r>
    </w:p>
    <w:p w14:paraId="2C120CA1" w14:textId="77777777" w:rsidR="00CB00FD" w:rsidRDefault="00CB00FD" w:rsidP="00CB00FD">
      <w:pPr>
        <w:pStyle w:val="VHBAbody"/>
        <w:spacing w:after="0"/>
      </w:pPr>
      <w:hyperlink r:id="rId57">
        <w:r w:rsidRPr="5E3F519C">
          <w:rPr>
            <w:rStyle w:val="Hyperlink"/>
          </w:rPr>
          <w:t>Federal Register of Legislation - Federal Safety Commissioner Act 2022</w:t>
        </w:r>
      </w:hyperlink>
    </w:p>
    <w:p w14:paraId="4B7B379B" w14:textId="77777777" w:rsidR="00CB00FD" w:rsidRDefault="00CB00FD" w:rsidP="00CB00FD">
      <w:pPr>
        <w:pStyle w:val="VHBAbody"/>
        <w:spacing w:after="0"/>
      </w:pPr>
      <w:r w:rsidRPr="61E507F1">
        <w:t>&lt;</w:t>
      </w:r>
      <w:r w:rsidRPr="5E3F519C">
        <w:t>https://www.legislation.gov.au/C2016A00087/latest/text</w:t>
      </w:r>
      <w:r w:rsidRPr="61E507F1">
        <w:t>&gt;</w:t>
      </w:r>
    </w:p>
    <w:p w14:paraId="51111B36" w14:textId="77777777" w:rsidR="00CB00FD" w:rsidRDefault="00CB00FD" w:rsidP="00CB00FD">
      <w:pPr>
        <w:pStyle w:val="VHBAbody"/>
        <w:spacing w:after="0"/>
      </w:pPr>
      <w:hyperlink r:id="rId58">
        <w:r w:rsidRPr="0C07DCD0">
          <w:rPr>
            <w:rStyle w:val="Hyperlink"/>
          </w:rPr>
          <w:t>Federal Register of Legislation - Code for the Tendering and Performance of Building Work Amendment Instrument 2022</w:t>
        </w:r>
      </w:hyperlink>
    </w:p>
    <w:p w14:paraId="184DC1A8" w14:textId="77777777" w:rsidR="00CB00FD" w:rsidRDefault="00CB00FD" w:rsidP="00CB00FD">
      <w:pPr>
        <w:pStyle w:val="VHBAbody"/>
        <w:spacing w:after="0"/>
      </w:pPr>
      <w:r w:rsidRPr="7463E3CE">
        <w:t>&lt;</w:t>
      </w:r>
      <w:r w:rsidRPr="5A2FCA02">
        <w:t>https://www.legislation.gov.au/F2022L01007/latest/text</w:t>
      </w:r>
      <w:r w:rsidRPr="7463E3CE">
        <w:t>&gt;</w:t>
      </w:r>
    </w:p>
    <w:p w14:paraId="7A0B181A" w14:textId="77777777" w:rsidR="00CB00FD" w:rsidRPr="008D1755" w:rsidRDefault="00CB00FD" w:rsidP="00CB00FD">
      <w:pPr>
        <w:spacing w:before="0" w:after="0"/>
        <w:rPr>
          <w:rFonts w:cs="Arial"/>
        </w:rPr>
      </w:pPr>
      <w:hyperlink r:id="rId59" w:history="1">
        <w:r w:rsidRPr="008D1755">
          <w:rPr>
            <w:rFonts w:cs="Arial"/>
            <w:color w:val="0563C1"/>
            <w:u w:val="dotted"/>
          </w:rPr>
          <w:t>Australian Government Building and Construction Workplace Health and Safety Accreditation Scheme</w:t>
        </w:r>
      </w:hyperlink>
      <w:r w:rsidRPr="008D1755">
        <w:rPr>
          <w:rFonts w:cs="Arial"/>
        </w:rPr>
        <w:t xml:space="preserve"> &lt;https://ablis.business.gov.au/service/ag/australian-government-building-and-construction-workplace-health-and-safety-accreditation-scheme/301</w:t>
      </w:r>
      <w:r>
        <w:rPr>
          <w:rFonts w:cs="Arial"/>
        </w:rPr>
        <w:t xml:space="preserve">&gt;  </w:t>
      </w:r>
    </w:p>
    <w:p w14:paraId="16A8A7FE" w14:textId="77777777" w:rsidR="00CB00FD" w:rsidRPr="008D1755" w:rsidRDefault="00CB00FD" w:rsidP="00CB00FD">
      <w:pPr>
        <w:spacing w:before="0" w:after="0"/>
        <w:rPr>
          <w:rFonts w:cs="Arial"/>
        </w:rPr>
      </w:pPr>
      <w:hyperlink r:id="rId60" w:history="1">
        <w:r w:rsidRPr="008D1755">
          <w:rPr>
            <w:rFonts w:cs="Arial"/>
            <w:color w:val="0563C1"/>
            <w:u w:val="dotted"/>
          </w:rPr>
          <w:t>National Construction Code</w:t>
        </w:r>
      </w:hyperlink>
      <w:r w:rsidRPr="008D1755">
        <w:rPr>
          <w:rFonts w:cs="Arial"/>
        </w:rPr>
        <w:t xml:space="preserve"> &lt;https://ncc.abcb.gov.au/&gt;</w:t>
      </w:r>
      <w:r>
        <w:rPr>
          <w:rFonts w:cs="Arial"/>
        </w:rPr>
        <w:t xml:space="preserve">  </w:t>
      </w:r>
    </w:p>
    <w:p w14:paraId="5F416934" w14:textId="77777777" w:rsidR="00CB00FD" w:rsidRPr="00CB00FD" w:rsidRDefault="00CB00FD" w:rsidP="00CB00FD">
      <w:pPr>
        <w:pStyle w:val="BodyText"/>
      </w:pPr>
    </w:p>
    <w:p w14:paraId="6B6DD6FD" w14:textId="77777777" w:rsidR="00CB00FD" w:rsidRDefault="00CB00FD" w:rsidP="00A73694">
      <w:pPr>
        <w:pStyle w:val="Heading7"/>
        <w:pageBreakBefore/>
        <w:rPr>
          <w:rFonts w:eastAsia="Times New Roman"/>
          <w:sz w:val="36"/>
          <w:szCs w:val="36"/>
        </w:rPr>
      </w:pPr>
      <w:bookmarkStart w:id="200" w:name="_Toc217405521"/>
      <w:r w:rsidRPr="00410B12">
        <w:rPr>
          <w:rFonts w:eastAsia="Times New Roman"/>
          <w:sz w:val="36"/>
          <w:szCs w:val="36"/>
        </w:rPr>
        <w:lastRenderedPageBreak/>
        <w:t>Sustainability FAQs</w:t>
      </w:r>
      <w:bookmarkEnd w:id="200"/>
    </w:p>
    <w:p w14:paraId="6FDDA5B6" w14:textId="77777777" w:rsidR="00CB00FD" w:rsidRPr="006322D5" w:rsidRDefault="00CB00FD" w:rsidP="00CB00FD">
      <w:pPr>
        <w:pStyle w:val="VHBAbody"/>
        <w:rPr>
          <w:rStyle w:val="Strong"/>
        </w:rPr>
      </w:pPr>
      <w:bookmarkStart w:id="201" w:name="_Toc103958984"/>
      <w:r w:rsidRPr="006322D5">
        <w:rPr>
          <w:rStyle w:val="Strong"/>
        </w:rPr>
        <w:t>What are the benefits of embedding sustainability in my project?</w:t>
      </w:r>
      <w:bookmarkEnd w:id="201"/>
    </w:p>
    <w:p w14:paraId="252B366C" w14:textId="77777777" w:rsidR="00CB00FD" w:rsidRPr="008D1755" w:rsidRDefault="00CB00FD" w:rsidP="00CB00FD">
      <w:pPr>
        <w:rPr>
          <w:rFonts w:cs="Arial"/>
        </w:rPr>
      </w:pPr>
      <w:r w:rsidRPr="71BBB938">
        <w:rPr>
          <w:rFonts w:cs="Arial"/>
        </w:rPr>
        <w:t>Delivering sustainable and resilient buildings promotes better patient outcomes, higher employee satisfaction and productivity, lowers operating costs and emissions, and ensures the building is operational to ensure fair and timely access to healthcare.</w:t>
      </w:r>
    </w:p>
    <w:p w14:paraId="05D39817" w14:textId="77777777" w:rsidR="00CB00FD" w:rsidRPr="006322D5" w:rsidRDefault="00CB00FD" w:rsidP="00CB00FD">
      <w:pPr>
        <w:pStyle w:val="VHBAbody"/>
        <w:rPr>
          <w:rStyle w:val="Strong"/>
        </w:rPr>
      </w:pPr>
      <w:bookmarkStart w:id="202" w:name="_Toc102820391"/>
      <w:bookmarkStart w:id="203" w:name="_Toc103958985"/>
      <w:r w:rsidRPr="006322D5">
        <w:rPr>
          <w:rStyle w:val="Strong"/>
        </w:rPr>
        <w:t>What sustainability requirements must I include on my project?</w:t>
      </w:r>
      <w:bookmarkEnd w:id="202"/>
      <w:bookmarkEnd w:id="203"/>
    </w:p>
    <w:p w14:paraId="217E6F71" w14:textId="77777777" w:rsidR="00CB00FD" w:rsidRPr="008D1755" w:rsidRDefault="00CB00FD" w:rsidP="00CB00FD">
      <w:pPr>
        <w:rPr>
          <w:rFonts w:cs="Arial"/>
        </w:rPr>
      </w:pPr>
      <w:r w:rsidRPr="3AEC8ED9">
        <w:rPr>
          <w:rFonts w:cs="Arial"/>
        </w:rPr>
        <w:t xml:space="preserve">All eligible projects approved under grant funding for VHBA need to apply the minimum sustainability requirements as outlined in the </w:t>
      </w:r>
      <w:r w:rsidRPr="3AEC8ED9">
        <w:rPr>
          <w:rFonts w:cs="Arial"/>
          <w:i/>
          <w:iCs/>
        </w:rPr>
        <w:t>Sustainability Checklist for Grants</w:t>
      </w:r>
      <w:r w:rsidRPr="3AEC8ED9">
        <w:rPr>
          <w:rFonts w:cs="Arial"/>
          <w:b/>
          <w:bCs/>
          <w:i/>
          <w:iCs/>
        </w:rPr>
        <w:t xml:space="preserve"> </w:t>
      </w:r>
      <w:r w:rsidRPr="3AEC8ED9">
        <w:rPr>
          <w:rFonts w:cs="Arial"/>
          <w:i/>
          <w:iCs/>
        </w:rPr>
        <w:t xml:space="preserve">Programs </w:t>
      </w:r>
      <w:r>
        <w:t xml:space="preserve">that can be downloaded from </w:t>
      </w:r>
      <w:hyperlink r:id="rId61" w:history="1">
        <w:r w:rsidRPr="002E0677">
          <w:rPr>
            <w:rStyle w:val="Hyperlink"/>
          </w:rPr>
          <w:t>VHBA RHIF page</w:t>
        </w:r>
      </w:hyperlink>
      <w:r>
        <w:t xml:space="preserve">  &lt;https://www.vhba.vic.gov.au/health/regional-facilities/regional-health-infrastructure-fund&gt; in the documents section</w:t>
      </w:r>
      <w:r w:rsidRPr="3AEC8ED9">
        <w:rPr>
          <w:rFonts w:cs="Arial"/>
        </w:rPr>
        <w:t xml:space="preserve">. Eligible projects over $5million must also apply a sustainability budget of 2.5 per cent of the total construction cost for enhanced sustainability initiatives. </w:t>
      </w:r>
    </w:p>
    <w:p w14:paraId="0A8607AA" w14:textId="77777777" w:rsidR="00CB00FD" w:rsidRPr="006322D5" w:rsidRDefault="00CB00FD" w:rsidP="00CB00FD">
      <w:pPr>
        <w:pStyle w:val="VHBAbody"/>
        <w:rPr>
          <w:rStyle w:val="Strong"/>
        </w:rPr>
      </w:pPr>
      <w:bookmarkStart w:id="204" w:name="_Toc102820392"/>
      <w:bookmarkStart w:id="205" w:name="_Toc103958986"/>
      <w:r w:rsidRPr="71BBB938">
        <w:rPr>
          <w:rStyle w:val="Strong"/>
        </w:rPr>
        <w:t>What if the minimum requirements cannot be included in my project?</w:t>
      </w:r>
      <w:bookmarkEnd w:id="204"/>
      <w:bookmarkEnd w:id="205"/>
    </w:p>
    <w:p w14:paraId="52E0AE6B" w14:textId="77777777" w:rsidR="00CB00FD" w:rsidRPr="008D1755" w:rsidRDefault="00CB00FD" w:rsidP="00CB00FD">
      <w:pPr>
        <w:rPr>
          <w:rFonts w:cs="Arial"/>
        </w:rPr>
      </w:pPr>
      <w:r w:rsidRPr="71BBB938">
        <w:rPr>
          <w:rFonts w:cs="Arial"/>
        </w:rPr>
        <w:t xml:space="preserve">The grant submission is required to identify which of the minimum sustainability requirements are being included in the project based on the project scope, under the relevant project type using the </w:t>
      </w:r>
      <w:r w:rsidRPr="71BBB938">
        <w:rPr>
          <w:rFonts w:cs="Arial"/>
          <w:b/>
          <w:bCs/>
        </w:rPr>
        <w:t>Sustainability Checklist for Grants Programs.</w:t>
      </w:r>
      <w:r w:rsidRPr="71BBB938">
        <w:rPr>
          <w:rFonts w:cs="Arial"/>
        </w:rPr>
        <w:t xml:space="preserve"> Reasons for not including minimum requirements into your project would be:</w:t>
      </w:r>
    </w:p>
    <w:p w14:paraId="1090186A" w14:textId="77777777" w:rsidR="00CB00FD" w:rsidRPr="008D1755" w:rsidRDefault="00CB00FD" w:rsidP="00CB00FD">
      <w:pPr>
        <w:pStyle w:val="VHBAbullet1"/>
        <w:ind w:left="397" w:hanging="397"/>
      </w:pPr>
      <w:r w:rsidRPr="008D1755">
        <w:t>it is not applicable, such as the requirements for below ground carparks where below ground</w:t>
      </w:r>
      <w:r w:rsidRPr="008D1755">
        <w:br/>
        <w:t>carparks are not part of the project</w:t>
      </w:r>
    </w:p>
    <w:p w14:paraId="0305504F" w14:textId="77777777" w:rsidR="00CB00FD" w:rsidRPr="008D1755" w:rsidRDefault="00CB00FD" w:rsidP="00CB00FD">
      <w:pPr>
        <w:pStyle w:val="VHBAbullet1"/>
        <w:ind w:left="397" w:hanging="397"/>
      </w:pPr>
      <w:r w:rsidRPr="71BBB938">
        <w:t>it is not technically or economically viable to retrofit the initiative into an existing building</w:t>
      </w:r>
    </w:p>
    <w:p w14:paraId="7DE6AA35" w14:textId="77777777" w:rsidR="00CB00FD" w:rsidRDefault="00CB00FD" w:rsidP="00CB00FD">
      <w:pPr>
        <w:pStyle w:val="VHBAbullet1"/>
        <w:ind w:left="397" w:hanging="397"/>
      </w:pPr>
      <w:r w:rsidRPr="71BBB938">
        <w:t>the level of investment or effort required outweighs the potential benefit of inclusion.</w:t>
      </w:r>
    </w:p>
    <w:p w14:paraId="151CA659" w14:textId="77777777" w:rsidR="00CB00FD" w:rsidRPr="008D1755" w:rsidRDefault="00CB00FD" w:rsidP="00CB00FD">
      <w:pPr>
        <w:pStyle w:val="VHBAbullet1"/>
        <w:ind w:left="397" w:hanging="397"/>
      </w:pPr>
      <w:r w:rsidRPr="00440A28">
        <w:t>Justifications are to be provided in the sustainability checklist where minimum requirements (BAU) are not proposed, or are unable, to be met.</w:t>
      </w:r>
    </w:p>
    <w:p w14:paraId="07266EE4" w14:textId="77777777" w:rsidR="00CB00FD" w:rsidRPr="005F77E3" w:rsidRDefault="00CB00FD" w:rsidP="00CB00FD">
      <w:pPr>
        <w:pStyle w:val="VHBAbodyafterbullets"/>
        <w:rPr>
          <w:rStyle w:val="Strong"/>
        </w:rPr>
      </w:pPr>
      <w:bookmarkStart w:id="206" w:name="_Toc103958987"/>
      <w:r w:rsidRPr="005F77E3">
        <w:rPr>
          <w:rStyle w:val="Strong"/>
        </w:rPr>
        <w:t>How can I fund enhanced sustainability initiatives?</w:t>
      </w:r>
      <w:bookmarkEnd w:id="206"/>
    </w:p>
    <w:p w14:paraId="6878CA09" w14:textId="77777777" w:rsidR="00CB00FD" w:rsidRPr="008D1755" w:rsidRDefault="00CB00FD" w:rsidP="00CB00FD">
      <w:pPr>
        <w:rPr>
          <w:rFonts w:cs="Arial"/>
        </w:rPr>
      </w:pPr>
      <w:r w:rsidRPr="71BBB938">
        <w:rPr>
          <w:rFonts w:cs="Arial"/>
        </w:rPr>
        <w:t>For construction projects above $5 million, the allocation of up to 2.5 per cent sustainability budget is mandatory. The submission must identify the sustainability focus areas that can be further refined in design development.</w:t>
      </w:r>
    </w:p>
    <w:p w14:paraId="7CEBB7B9" w14:textId="77777777" w:rsidR="00CB00FD" w:rsidRPr="008D1755" w:rsidRDefault="00CB00FD" w:rsidP="00CB00FD">
      <w:pPr>
        <w:rPr>
          <w:rFonts w:cs="Arial"/>
        </w:rPr>
      </w:pPr>
      <w:r>
        <w:rPr>
          <w:rFonts w:cs="Arial"/>
        </w:rPr>
        <w:t>For construction projects under $5 million, a</w:t>
      </w:r>
      <w:r w:rsidRPr="71BBB938">
        <w:rPr>
          <w:rFonts w:cs="Arial"/>
        </w:rPr>
        <w:t xml:space="preserve"> budget allocation of up to 2.5 per cent of the total construction cost</w:t>
      </w:r>
      <w:r>
        <w:rPr>
          <w:rFonts w:cs="Arial"/>
        </w:rPr>
        <w:t xml:space="preserve"> may be added</w:t>
      </w:r>
      <w:r w:rsidRPr="71BBB938">
        <w:rPr>
          <w:rFonts w:cs="Arial"/>
        </w:rPr>
        <w:t xml:space="preserve"> to support enhanced sustainability initiatives, where the submission demonstrates the benefit of the additional investment. </w:t>
      </w:r>
      <w:r w:rsidRPr="00F45D6A">
        <w:rPr>
          <w:rFonts w:cs="Arial"/>
        </w:rPr>
        <w:t>Where applications for these projects include a 2.5 per cent sustainability allowance, commentary on the additional benefits to be provided are to be included in the submission. The allocation of this budget is at the discretion of VHBA.</w:t>
      </w:r>
    </w:p>
    <w:p w14:paraId="79F42918" w14:textId="77777777" w:rsidR="00CB00FD" w:rsidRPr="00944227" w:rsidRDefault="00CB00FD" w:rsidP="00CB00FD">
      <w:pPr>
        <w:pStyle w:val="VHBABodyBold"/>
        <w:rPr>
          <w:rStyle w:val="Strong"/>
          <w:b/>
          <w:bCs w:val="0"/>
        </w:rPr>
      </w:pPr>
      <w:bookmarkStart w:id="207" w:name="_Toc103958988"/>
      <w:bookmarkStart w:id="208" w:name="_Toc102820394"/>
      <w:r w:rsidRPr="00944227">
        <w:rPr>
          <w:rStyle w:val="Strong"/>
          <w:b/>
          <w:bCs w:val="0"/>
        </w:rPr>
        <w:t>What are some examples of enhanced sustainability initiatives for my project?</w:t>
      </w:r>
      <w:bookmarkEnd w:id="207"/>
    </w:p>
    <w:p w14:paraId="26D96559" w14:textId="77777777" w:rsidR="00CB00FD" w:rsidRPr="006322D5" w:rsidRDefault="00CB00FD" w:rsidP="00CB00FD">
      <w:pPr>
        <w:pStyle w:val="VHBAbody"/>
      </w:pPr>
      <w:r w:rsidRPr="71BBB938">
        <w:t xml:space="preserve">Examples of enhanced sustainability initiatives for the project types within the RHIF submission are outlined in the below table. Applicants are encouraged to refer to Appendix </w:t>
      </w:r>
      <w:r w:rsidR="00986791">
        <w:t>C</w:t>
      </w:r>
      <w:r w:rsidRPr="71BBB938">
        <w:t xml:space="preserve">: Guidance for using the sustainability budget, contained within the </w:t>
      </w:r>
      <w:hyperlink r:id="rId62">
        <w:r w:rsidRPr="71BBB938">
          <w:rPr>
            <w:rStyle w:val="Hyperlink"/>
          </w:rPr>
          <w:t>Guidelines for sustainability in health care capital works</w:t>
        </w:r>
      </w:hyperlink>
      <w:r w:rsidRPr="71BBB938">
        <w:t xml:space="preserve"> &lt;https://www.vhba.vic.gov.au/guidelines-sustainability-capital-works&gt; for further information regarding improvements to minimum sustainability requirements.</w:t>
      </w:r>
    </w:p>
    <w:p w14:paraId="7D11C2E6" w14:textId="77777777" w:rsidR="00CB00FD" w:rsidRPr="008D1755" w:rsidRDefault="00CB00FD" w:rsidP="00CB00FD">
      <w:pPr>
        <w:rPr>
          <w:rFonts w:cs="Arial"/>
        </w:rPr>
      </w:pPr>
    </w:p>
    <w:p w14:paraId="2D6EDAE8" w14:textId="77777777" w:rsidR="00CB00FD" w:rsidRPr="008D1755" w:rsidRDefault="00CB00FD" w:rsidP="00CB00FD">
      <w:pPr>
        <w:rPr>
          <w:rFonts w:cs="Arial"/>
          <w:b/>
          <w:bCs/>
        </w:rPr>
      </w:pPr>
      <w:bookmarkStart w:id="209" w:name="_Ref103950087"/>
      <w:r w:rsidRPr="008D1755">
        <w:rPr>
          <w:rFonts w:cs="Arial"/>
          <w:b/>
          <w:bCs/>
          <w:i/>
          <w:iCs/>
        </w:rPr>
        <w:br w:type="page"/>
      </w:r>
    </w:p>
    <w:p w14:paraId="10D0B8BF" w14:textId="77777777" w:rsidR="00CB00FD" w:rsidRPr="008D1755" w:rsidRDefault="00CB00FD" w:rsidP="00CB00FD">
      <w:pPr>
        <w:rPr>
          <w:rFonts w:cs="Arial"/>
          <w:b/>
          <w:bCs/>
        </w:rPr>
      </w:pPr>
      <w:r w:rsidRPr="008D1755">
        <w:rPr>
          <w:rFonts w:cs="Arial"/>
          <w:b/>
          <w:bCs/>
        </w:rPr>
        <w:lastRenderedPageBreak/>
        <w:t xml:space="preserve">Table </w:t>
      </w:r>
      <w:bookmarkEnd w:id="209"/>
      <w:r>
        <w:rPr>
          <w:rFonts w:cs="Arial"/>
          <w:b/>
          <w:bCs/>
        </w:rPr>
        <w:t>2</w:t>
      </w:r>
      <w:r w:rsidRPr="008D1755">
        <w:rPr>
          <w:rFonts w:cs="Arial"/>
          <w:b/>
          <w:bCs/>
        </w:rPr>
        <w:t>: Examples of enhanced sustainability initiatives for different project types</w:t>
      </w:r>
    </w:p>
    <w:tbl>
      <w:tblPr>
        <w:tblStyle w:val="TableGrid"/>
        <w:tblW w:w="0" w:type="auto"/>
        <w:tblInd w:w="-5" w:type="dxa"/>
        <w:tblBorders>
          <w:top w:val="none" w:sz="0" w:space="0" w:color="auto"/>
          <w:left w:val="none" w:sz="0" w:space="0" w:color="auto"/>
          <w:bottom w:val="none" w:sz="0" w:space="0" w:color="auto"/>
          <w:right w:val="none" w:sz="0" w:space="0" w:color="auto"/>
          <w:insideH w:val="single" w:sz="4" w:space="0" w:color="850024" w:themeColor="text2"/>
          <w:insideV w:val="none" w:sz="0" w:space="0" w:color="auto"/>
        </w:tblBorders>
        <w:tblLook w:val="04A0" w:firstRow="1" w:lastRow="0" w:firstColumn="1" w:lastColumn="0" w:noHBand="0" w:noVBand="1"/>
      </w:tblPr>
      <w:tblGrid>
        <w:gridCol w:w="1741"/>
        <w:gridCol w:w="2297"/>
        <w:gridCol w:w="5298"/>
      </w:tblGrid>
      <w:tr w:rsidR="00CB00FD" w14:paraId="45E435E1" w14:textId="77777777" w:rsidTr="00F85AFC">
        <w:trPr>
          <w:tblHeader/>
        </w:trPr>
        <w:tc>
          <w:tcPr>
            <w:tcW w:w="1741" w:type="dxa"/>
          </w:tcPr>
          <w:p w14:paraId="324C2F49" w14:textId="77777777" w:rsidR="00CB00FD" w:rsidRPr="008D1755" w:rsidRDefault="00CB00FD" w:rsidP="00F85AFC">
            <w:pPr>
              <w:pStyle w:val="VHBAtablecolhead"/>
            </w:pPr>
            <w:r w:rsidRPr="008D1755">
              <w:t>Category</w:t>
            </w:r>
          </w:p>
        </w:tc>
        <w:tc>
          <w:tcPr>
            <w:tcW w:w="2297" w:type="dxa"/>
          </w:tcPr>
          <w:p w14:paraId="2FBECA54" w14:textId="77777777" w:rsidR="00CB00FD" w:rsidRPr="008D1755" w:rsidRDefault="00CB00FD" w:rsidP="00F85AFC">
            <w:pPr>
              <w:pStyle w:val="VHBAtablecolhead"/>
            </w:pPr>
            <w:r w:rsidRPr="008D1755">
              <w:t xml:space="preserve">Project </w:t>
            </w:r>
            <w:r>
              <w:t>t</w:t>
            </w:r>
            <w:r w:rsidRPr="008D1755">
              <w:t>ype</w:t>
            </w:r>
          </w:p>
        </w:tc>
        <w:tc>
          <w:tcPr>
            <w:tcW w:w="5027" w:type="dxa"/>
          </w:tcPr>
          <w:p w14:paraId="4564C4F1" w14:textId="77777777" w:rsidR="00CB00FD" w:rsidRPr="008D1755" w:rsidRDefault="00CB00FD" w:rsidP="00F85AFC">
            <w:pPr>
              <w:pStyle w:val="VHBAtablecolhead"/>
            </w:pPr>
            <w:r w:rsidRPr="008D1755">
              <w:t>Enhanced sustainability initiatives</w:t>
            </w:r>
          </w:p>
        </w:tc>
      </w:tr>
      <w:tr w:rsidR="00CB00FD" w14:paraId="10CAB711" w14:textId="77777777" w:rsidTr="00F85AFC">
        <w:tc>
          <w:tcPr>
            <w:tcW w:w="1741" w:type="dxa"/>
            <w:shd w:val="clear" w:color="auto" w:fill="FDDDC3" w:themeFill="accent4" w:themeFillTint="66"/>
          </w:tcPr>
          <w:p w14:paraId="5EF3DAE5" w14:textId="77777777" w:rsidR="00CB00FD" w:rsidRPr="008D1755" w:rsidRDefault="00CB00FD" w:rsidP="00F85AFC">
            <w:pPr>
              <w:pStyle w:val="VHBAtabletext"/>
              <w:rPr>
                <w:rFonts w:cs="Arial"/>
                <w:bCs/>
              </w:rPr>
            </w:pPr>
            <w:r w:rsidRPr="008D1755">
              <w:rPr>
                <w:rFonts w:cs="Arial"/>
                <w:bCs/>
              </w:rPr>
              <w:t xml:space="preserve">New </w:t>
            </w:r>
            <w:r>
              <w:rPr>
                <w:rFonts w:cs="Arial"/>
                <w:bCs/>
              </w:rPr>
              <w:t>c</w:t>
            </w:r>
            <w:r w:rsidRPr="008D1755">
              <w:rPr>
                <w:rFonts w:cs="Arial"/>
                <w:bCs/>
              </w:rPr>
              <w:t>onstruction</w:t>
            </w:r>
          </w:p>
        </w:tc>
        <w:tc>
          <w:tcPr>
            <w:tcW w:w="2297" w:type="dxa"/>
          </w:tcPr>
          <w:p w14:paraId="4C215B15" w14:textId="77777777" w:rsidR="00CB00FD" w:rsidRPr="008D1755" w:rsidRDefault="00CB00FD" w:rsidP="00CB00FD">
            <w:pPr>
              <w:pStyle w:val="VHBAtablebullet1"/>
            </w:pPr>
            <w:r w:rsidRPr="008D1755">
              <w:t xml:space="preserve">New </w:t>
            </w:r>
            <w:r>
              <w:t>c</w:t>
            </w:r>
            <w:r w:rsidRPr="008D1755">
              <w:t>onstruction</w:t>
            </w:r>
          </w:p>
        </w:tc>
        <w:tc>
          <w:tcPr>
            <w:tcW w:w="5027" w:type="dxa"/>
          </w:tcPr>
          <w:p w14:paraId="36B010F1" w14:textId="77777777" w:rsidR="00CB00FD" w:rsidRPr="008D1755" w:rsidRDefault="00CB00FD" w:rsidP="00CB00FD">
            <w:pPr>
              <w:pStyle w:val="VHBAtablebullet1"/>
            </w:pPr>
            <w:r w:rsidRPr="008D1755">
              <w:t>Provide a 10 or 20</w:t>
            </w:r>
            <w:r>
              <w:t xml:space="preserve"> per cent</w:t>
            </w:r>
            <w:r w:rsidRPr="008D1755">
              <w:t xml:space="preserve"> improvement on minimum insulation, glazing, building sealing, HVAC, lighting, domestic hot water, and monitoring requirements under Section J of the </w:t>
            </w:r>
            <w:r>
              <w:t xml:space="preserve">current </w:t>
            </w:r>
            <w:r w:rsidRPr="008D1755">
              <w:t>NCC</w:t>
            </w:r>
            <w:r>
              <w:t>.</w:t>
            </w:r>
          </w:p>
          <w:p w14:paraId="1B86BF00" w14:textId="77777777" w:rsidR="00CB00FD" w:rsidRPr="008D1755" w:rsidRDefault="00CB00FD" w:rsidP="00CB00FD">
            <w:pPr>
              <w:pStyle w:val="VHBAtablebullet1"/>
            </w:pPr>
            <w:r>
              <w:t xml:space="preserve">Conduction of building sealing testing on the whole building (refer RHIF Sustainability Checklist for information).  </w:t>
            </w:r>
          </w:p>
          <w:p w14:paraId="1B5A277D" w14:textId="77777777" w:rsidR="00CB00FD" w:rsidRPr="008D1755" w:rsidRDefault="00CB00FD" w:rsidP="00CB00FD">
            <w:pPr>
              <w:pStyle w:val="VHBAtablebullet1"/>
            </w:pPr>
            <w:r w:rsidRPr="008D1755">
              <w:t>Install embedded generation solar panel that is sized to the base load of the building.</w:t>
            </w:r>
          </w:p>
          <w:p w14:paraId="6CA99AA2" w14:textId="77777777" w:rsidR="00CB00FD" w:rsidRPr="008D1755" w:rsidRDefault="00CB00FD" w:rsidP="00CB00FD">
            <w:pPr>
              <w:pStyle w:val="VHBAtablebullet1"/>
            </w:pPr>
            <w:r w:rsidRPr="008D1755">
              <w:t>Install reed switches on openable windows in rooms with individual thermal controls to manage heating and cooling.</w:t>
            </w:r>
          </w:p>
          <w:p w14:paraId="419E29D8" w14:textId="77777777" w:rsidR="00CB00FD" w:rsidRPr="008D1755" w:rsidRDefault="00CB00FD" w:rsidP="00CB00FD">
            <w:pPr>
              <w:pStyle w:val="VHBAtablebullet1"/>
            </w:pPr>
            <w:r w:rsidRPr="008D1755">
              <w:t>Providing advanced air purification through carbon filtration, air sanitisation and air quality maintenance.</w:t>
            </w:r>
          </w:p>
          <w:p w14:paraId="6BB81A02" w14:textId="77777777" w:rsidR="00CB00FD" w:rsidRPr="008D1755" w:rsidRDefault="00CB00FD" w:rsidP="00CB00FD">
            <w:pPr>
              <w:pStyle w:val="VHBAtablebullet1"/>
            </w:pPr>
            <w:r w:rsidRPr="008D1755">
              <w:t>Incorporating biophilic design elements.</w:t>
            </w:r>
            <w:r>
              <w:t xml:space="preserve"> Refer “Biophilic Design’ HTA for examples exceeding business as usual. </w:t>
            </w:r>
            <w:r w:rsidRPr="00983CC0">
              <w:t>&lt;https://www.vhba.vic.gov.au/sites/default/files/2024-10/HTA-2024-003-Biophilic-Design.pdf&gt;</w:t>
            </w:r>
          </w:p>
        </w:tc>
      </w:tr>
      <w:tr w:rsidR="00CB00FD" w14:paraId="2BD3DC2C" w14:textId="77777777" w:rsidTr="00F85AFC">
        <w:tc>
          <w:tcPr>
            <w:tcW w:w="1741" w:type="dxa"/>
            <w:shd w:val="clear" w:color="auto" w:fill="FDDDC3" w:themeFill="accent4" w:themeFillTint="66"/>
          </w:tcPr>
          <w:p w14:paraId="4BDDAFDD" w14:textId="77777777" w:rsidR="00CB00FD" w:rsidRPr="008D1755" w:rsidRDefault="00CB00FD" w:rsidP="00F85AFC">
            <w:pPr>
              <w:pStyle w:val="VHBAtabletext"/>
              <w:rPr>
                <w:rFonts w:cs="Arial"/>
                <w:bCs/>
              </w:rPr>
            </w:pPr>
            <w:r w:rsidRPr="008D1755">
              <w:rPr>
                <w:rFonts w:cs="Arial"/>
                <w:bCs/>
              </w:rPr>
              <w:t>Refurbishment and infrastructure upgrade works</w:t>
            </w:r>
          </w:p>
        </w:tc>
        <w:tc>
          <w:tcPr>
            <w:tcW w:w="2297" w:type="dxa"/>
          </w:tcPr>
          <w:p w14:paraId="12B07CF7" w14:textId="77777777" w:rsidR="00CB00FD" w:rsidRPr="008D1755" w:rsidRDefault="00CB00FD" w:rsidP="00CB00FD">
            <w:pPr>
              <w:pStyle w:val="VHBAtablebullet1"/>
            </w:pPr>
            <w:r w:rsidRPr="008D1755">
              <w:t>Refurbishment</w:t>
            </w:r>
          </w:p>
          <w:p w14:paraId="17B6D4BE" w14:textId="77777777" w:rsidR="00CB00FD" w:rsidRPr="008D1755" w:rsidRDefault="00CB00FD" w:rsidP="00CB00FD">
            <w:pPr>
              <w:pStyle w:val="VHBAtablebullet1"/>
            </w:pPr>
            <w:r w:rsidRPr="008D1755">
              <w:t>Engineering infrastructure works (e.g.</w:t>
            </w:r>
            <w:r>
              <w:t xml:space="preserve"> </w:t>
            </w:r>
            <w:r w:rsidRPr="008D1755">
              <w:t xml:space="preserve">engineering plant </w:t>
            </w:r>
            <w:r>
              <w:t>and</w:t>
            </w:r>
            <w:r w:rsidRPr="008D1755">
              <w:t xml:space="preserve"> equipment, electrical work, generators, heating ventilation and air conditioning)</w:t>
            </w:r>
          </w:p>
          <w:p w14:paraId="5C0C3BA9" w14:textId="77777777" w:rsidR="00CB00FD" w:rsidRPr="008D1755" w:rsidRDefault="00CB00FD" w:rsidP="00CB00FD">
            <w:pPr>
              <w:pStyle w:val="VHBAtablebullet1"/>
            </w:pPr>
            <w:r w:rsidRPr="008D1755">
              <w:t xml:space="preserve">DDA </w:t>
            </w:r>
            <w:r>
              <w:t>and</w:t>
            </w:r>
            <w:r w:rsidRPr="008D1755">
              <w:t xml:space="preserve"> universal access works</w:t>
            </w:r>
          </w:p>
          <w:p w14:paraId="5C59BCE7" w14:textId="77777777" w:rsidR="00CB00FD" w:rsidRPr="008D1755" w:rsidRDefault="00CB00FD" w:rsidP="00CB00FD">
            <w:pPr>
              <w:pStyle w:val="VHBAtablebullet1"/>
            </w:pPr>
            <w:r w:rsidRPr="008D1755">
              <w:t>Client meal preparation</w:t>
            </w:r>
          </w:p>
        </w:tc>
        <w:tc>
          <w:tcPr>
            <w:tcW w:w="5027" w:type="dxa"/>
          </w:tcPr>
          <w:p w14:paraId="79B0C314" w14:textId="77777777" w:rsidR="00CB00FD" w:rsidRPr="008D1755" w:rsidRDefault="00CB00FD" w:rsidP="00CB00FD">
            <w:pPr>
              <w:pStyle w:val="VHBAtablebullet1"/>
            </w:pPr>
            <w:r w:rsidRPr="000B52A2">
              <w:t>Undertaking works to convert gas infrastructure to electric to enable the refurbished area to be all-electric, even where this infrastructure also supports other buildings outside the project scope</w:t>
            </w:r>
          </w:p>
          <w:p w14:paraId="0D38DC51" w14:textId="77777777" w:rsidR="00CB00FD" w:rsidRPr="008D1755" w:rsidRDefault="00CB00FD" w:rsidP="00CB00FD">
            <w:pPr>
              <w:pStyle w:val="VHBAtablebullet1"/>
            </w:pPr>
            <w:r w:rsidRPr="008D1755">
              <w:t xml:space="preserve">Converting HVAC equipment such as </w:t>
            </w:r>
            <w:r>
              <w:t>gas ducted heating systems</w:t>
            </w:r>
            <w:r w:rsidRPr="008D1755">
              <w:t xml:space="preserve"> to all-electric.</w:t>
            </w:r>
          </w:p>
          <w:p w14:paraId="5968C140" w14:textId="77777777" w:rsidR="00CB00FD" w:rsidRPr="008D1755" w:rsidRDefault="00CB00FD" w:rsidP="00CB00FD">
            <w:pPr>
              <w:pStyle w:val="VHBAtablebullet1"/>
            </w:pPr>
            <w:r w:rsidRPr="008D1755">
              <w:t>Incorporate extended external building design to extend and improve building summer shading.</w:t>
            </w:r>
          </w:p>
          <w:p w14:paraId="22CAAC70" w14:textId="77777777" w:rsidR="00CB00FD" w:rsidRPr="008D1755" w:rsidRDefault="00CB00FD" w:rsidP="00CB00FD">
            <w:pPr>
              <w:pStyle w:val="VHBAtablebullet1"/>
            </w:pPr>
            <w:r w:rsidRPr="71BBB938">
              <w:t xml:space="preserve">Improving on minimum requirements for total volatile organic compounds (TVOC) limits for paints, adhesives, sealants, and carpets. </w:t>
            </w:r>
          </w:p>
          <w:p w14:paraId="544605A6" w14:textId="77777777" w:rsidR="00CB00FD" w:rsidRPr="008D1755" w:rsidRDefault="00CB00FD" w:rsidP="00CB00FD">
            <w:pPr>
              <w:pStyle w:val="VHBAtablebullet1"/>
            </w:pPr>
            <w:r w:rsidRPr="008D1755">
              <w:t>Provide access to healthy food and drink options in meal preparation areas.</w:t>
            </w:r>
          </w:p>
          <w:p w14:paraId="1D539DA7" w14:textId="77777777" w:rsidR="00CB00FD" w:rsidRPr="008D1755" w:rsidRDefault="00CB00FD" w:rsidP="00CB00FD">
            <w:pPr>
              <w:pStyle w:val="VHBAtablebullet1"/>
            </w:pPr>
            <w:r w:rsidRPr="008D1755">
              <w:t>Provide external shading and low-conductive materials for handrails to enable safe use in extreme heat days.</w:t>
            </w:r>
          </w:p>
        </w:tc>
      </w:tr>
      <w:tr w:rsidR="00CB00FD" w14:paraId="78A741A6" w14:textId="77777777" w:rsidTr="00F85AFC">
        <w:tc>
          <w:tcPr>
            <w:tcW w:w="1741" w:type="dxa"/>
            <w:shd w:val="clear" w:color="auto" w:fill="FDDDC3" w:themeFill="accent4" w:themeFillTint="66"/>
          </w:tcPr>
          <w:p w14:paraId="79B248EA" w14:textId="77777777" w:rsidR="00CB00FD" w:rsidRPr="008D1755" w:rsidRDefault="00CB00FD" w:rsidP="00F85AFC">
            <w:pPr>
              <w:pStyle w:val="VHBAtabletext"/>
              <w:rPr>
                <w:rFonts w:cs="Arial"/>
                <w:bCs/>
              </w:rPr>
            </w:pPr>
            <w:r w:rsidRPr="008D1755">
              <w:rPr>
                <w:rFonts w:cs="Arial"/>
                <w:bCs/>
              </w:rPr>
              <w:t>Planning</w:t>
            </w:r>
          </w:p>
        </w:tc>
        <w:tc>
          <w:tcPr>
            <w:tcW w:w="2297" w:type="dxa"/>
          </w:tcPr>
          <w:p w14:paraId="47A43D68" w14:textId="77777777" w:rsidR="00CB00FD" w:rsidRPr="008D1755" w:rsidRDefault="00CB00FD" w:rsidP="00CB00FD">
            <w:pPr>
              <w:pStyle w:val="VHBAtablebullet1"/>
            </w:pPr>
            <w:r w:rsidRPr="008D1755">
              <w:t>Planning</w:t>
            </w:r>
          </w:p>
        </w:tc>
        <w:tc>
          <w:tcPr>
            <w:tcW w:w="5027" w:type="dxa"/>
          </w:tcPr>
          <w:p w14:paraId="02D49720" w14:textId="77777777" w:rsidR="00CB00FD" w:rsidRPr="008D1755" w:rsidRDefault="00CB00FD" w:rsidP="00CB00FD">
            <w:pPr>
              <w:pStyle w:val="VHBAtablebullet1"/>
            </w:pPr>
            <w:r w:rsidRPr="008D1755">
              <w:t>Maximising initiatives to reduce the urban heat island effect such as increased greenery and shading.</w:t>
            </w:r>
          </w:p>
          <w:p w14:paraId="30B66005" w14:textId="77777777" w:rsidR="00CB00FD" w:rsidRPr="008D1755" w:rsidRDefault="00CB00FD" w:rsidP="00CB00FD">
            <w:pPr>
              <w:pStyle w:val="VHBAtablebullet1"/>
            </w:pPr>
            <w:r w:rsidRPr="008D1755">
              <w:t>Engaging an ESD consultant for a dedicated ESD strategy to enhance sustainability initiatives for the development.</w:t>
            </w:r>
          </w:p>
          <w:p w14:paraId="5F8E7EE7" w14:textId="77777777" w:rsidR="00CB00FD" w:rsidRPr="008D1755" w:rsidRDefault="00CB00FD" w:rsidP="00CB00FD">
            <w:pPr>
              <w:pStyle w:val="VHBAtablebullet1"/>
            </w:pPr>
            <w:r w:rsidRPr="008D1755">
              <w:t>Developing a climate adaptation plan.</w:t>
            </w:r>
          </w:p>
        </w:tc>
      </w:tr>
      <w:tr w:rsidR="00CB00FD" w14:paraId="1932A553" w14:textId="77777777" w:rsidTr="00F85AFC">
        <w:tc>
          <w:tcPr>
            <w:tcW w:w="1741" w:type="dxa"/>
            <w:tcBorders>
              <w:bottom w:val="single" w:sz="4" w:space="0" w:color="850024" w:themeColor="text2"/>
            </w:tcBorders>
            <w:shd w:val="clear" w:color="auto" w:fill="FDDDC3" w:themeFill="accent4" w:themeFillTint="66"/>
          </w:tcPr>
          <w:p w14:paraId="438E866C" w14:textId="77777777" w:rsidR="00CB00FD" w:rsidRPr="008D1755" w:rsidRDefault="00CB00FD" w:rsidP="00F85AFC">
            <w:pPr>
              <w:pStyle w:val="VHBAtabletext"/>
              <w:rPr>
                <w:rFonts w:cs="Arial"/>
                <w:bCs/>
              </w:rPr>
            </w:pPr>
            <w:r w:rsidRPr="008D1755">
              <w:rPr>
                <w:rFonts w:cs="Arial"/>
                <w:bCs/>
              </w:rPr>
              <w:t>Equipment and procurement</w:t>
            </w:r>
          </w:p>
        </w:tc>
        <w:tc>
          <w:tcPr>
            <w:tcW w:w="2297" w:type="dxa"/>
            <w:tcBorders>
              <w:bottom w:val="single" w:sz="4" w:space="0" w:color="850024" w:themeColor="text2"/>
            </w:tcBorders>
          </w:tcPr>
          <w:p w14:paraId="4DC7C6A8" w14:textId="77777777" w:rsidR="00CB00FD" w:rsidRPr="008D1755" w:rsidRDefault="00CB00FD" w:rsidP="00CB00FD">
            <w:pPr>
              <w:pStyle w:val="VHBAtablebullet1"/>
            </w:pPr>
            <w:r w:rsidRPr="008D1755">
              <w:t>Fixtures fittings and equipment</w:t>
            </w:r>
          </w:p>
          <w:p w14:paraId="041D0AAE" w14:textId="77777777" w:rsidR="00CB00FD" w:rsidRPr="008D1755" w:rsidRDefault="00CB00FD" w:rsidP="00CB00FD">
            <w:pPr>
              <w:pStyle w:val="VHBAtablebullet1"/>
            </w:pPr>
            <w:r w:rsidRPr="008D1755">
              <w:lastRenderedPageBreak/>
              <w:t>Motor vehicle (bush nursing centres only)</w:t>
            </w:r>
          </w:p>
          <w:p w14:paraId="692F5B0C" w14:textId="77777777" w:rsidR="00CB00FD" w:rsidRPr="008D1755" w:rsidRDefault="00CB00FD" w:rsidP="00CB00FD">
            <w:pPr>
              <w:pStyle w:val="VHBAtablebullet1"/>
            </w:pPr>
            <w:r w:rsidRPr="008D1755">
              <w:t xml:space="preserve">Information </w:t>
            </w:r>
            <w:r>
              <w:t>and</w:t>
            </w:r>
            <w:r w:rsidRPr="008D1755">
              <w:t xml:space="preserve"> communication technology</w:t>
            </w:r>
          </w:p>
        </w:tc>
        <w:tc>
          <w:tcPr>
            <w:tcW w:w="5027" w:type="dxa"/>
            <w:tcBorders>
              <w:bottom w:val="single" w:sz="4" w:space="0" w:color="850024" w:themeColor="text2"/>
            </w:tcBorders>
          </w:tcPr>
          <w:p w14:paraId="58C4D125" w14:textId="77777777" w:rsidR="00CB00FD" w:rsidRPr="008D1755" w:rsidRDefault="00CB00FD" w:rsidP="00CB00FD">
            <w:pPr>
              <w:pStyle w:val="VHBAtablebullet1"/>
            </w:pPr>
            <w:r w:rsidRPr="008D1755">
              <w:lastRenderedPageBreak/>
              <w:t>Electric vehicle procurement with solar powered charging stations.</w:t>
            </w:r>
          </w:p>
          <w:p w14:paraId="119866F7" w14:textId="77777777" w:rsidR="00CB00FD" w:rsidRPr="00D16D44" w:rsidRDefault="00CB00FD" w:rsidP="00CB00FD">
            <w:pPr>
              <w:pStyle w:val="VHBAtablebullet1"/>
            </w:pPr>
            <w:r w:rsidRPr="00D16D44">
              <w:lastRenderedPageBreak/>
              <w:t xml:space="preserve">Providing EV chargers (refer Appendix </w:t>
            </w:r>
            <w:r w:rsidR="00986791">
              <w:t>A</w:t>
            </w:r>
            <w:r w:rsidRPr="00D16D44">
              <w:t xml:space="preserve"> of ‘Embedding sustainability in health facility carparks’ HTA for more information on initiatives supported under the 2.5 per cent budget &lt;https://www.vhba.vic.gov.au/sites/default/files/2024-10/HTA-2024-004-Embedding-sustainability-in-health-facility-carparks.pdf&gt;</w:t>
            </w:r>
          </w:p>
          <w:p w14:paraId="1EB2C223" w14:textId="77777777" w:rsidR="00CB00FD" w:rsidRPr="008D1755" w:rsidRDefault="00CB00FD" w:rsidP="00CB00FD">
            <w:pPr>
              <w:pStyle w:val="VHBAtablebullet1"/>
            </w:pPr>
            <w:r w:rsidRPr="008D1755">
              <w:t>Install super-efficient equipment with an energy rating of 7 to 10 stars.</w:t>
            </w:r>
          </w:p>
          <w:p w14:paraId="4ACE793A" w14:textId="77777777" w:rsidR="00CB00FD" w:rsidRPr="008D1755" w:rsidRDefault="00CB00FD" w:rsidP="00CB00FD">
            <w:pPr>
              <w:pStyle w:val="VHBAtablebullet1"/>
            </w:pPr>
            <w:r w:rsidRPr="008D1755">
              <w:t>Sustainable procurement, supply chain, and green cleaning policies.</w:t>
            </w:r>
          </w:p>
          <w:p w14:paraId="6E0D8EF8" w14:textId="77777777" w:rsidR="00CB00FD" w:rsidRPr="008D1755" w:rsidRDefault="00CB00FD" w:rsidP="00CB00FD">
            <w:pPr>
              <w:pStyle w:val="VHBAtablebullet1"/>
            </w:pPr>
            <w:r w:rsidRPr="71BBB938">
              <w:t xml:space="preserve">Exceeding minimum requirement of 30 per cent of loose furniture to be third party certified by an environmental scheme. </w:t>
            </w:r>
          </w:p>
        </w:tc>
      </w:tr>
      <w:tr w:rsidR="00CB00FD" w14:paraId="369C40D7" w14:textId="77777777" w:rsidTr="00F85AFC">
        <w:tc>
          <w:tcPr>
            <w:tcW w:w="1741" w:type="dxa"/>
            <w:tcBorders>
              <w:top w:val="single" w:sz="4" w:space="0" w:color="850024" w:themeColor="text2"/>
              <w:bottom w:val="single" w:sz="18" w:space="0" w:color="850024" w:themeColor="text2"/>
            </w:tcBorders>
            <w:shd w:val="clear" w:color="auto" w:fill="FDDDC3" w:themeFill="accent4" w:themeFillTint="66"/>
          </w:tcPr>
          <w:p w14:paraId="46FD23EA" w14:textId="77777777" w:rsidR="00CB00FD" w:rsidRPr="006322D5" w:rsidRDefault="00CB00FD" w:rsidP="00F85AFC">
            <w:pPr>
              <w:pStyle w:val="VHBAtabletext"/>
              <w:rPr>
                <w:rFonts w:cs="Arial"/>
                <w:bCs/>
              </w:rPr>
            </w:pPr>
            <w:r w:rsidRPr="008D1755">
              <w:rPr>
                <w:rFonts w:cs="Arial"/>
                <w:bCs/>
              </w:rPr>
              <w:lastRenderedPageBreak/>
              <w:t>Categories with limited opportunity for sustainability outcomes</w:t>
            </w:r>
          </w:p>
        </w:tc>
        <w:tc>
          <w:tcPr>
            <w:tcW w:w="2297" w:type="dxa"/>
            <w:tcBorders>
              <w:top w:val="single" w:sz="4" w:space="0" w:color="850024" w:themeColor="text2"/>
              <w:bottom w:val="single" w:sz="18" w:space="0" w:color="850024" w:themeColor="text2"/>
            </w:tcBorders>
          </w:tcPr>
          <w:p w14:paraId="78579BC6" w14:textId="77777777" w:rsidR="00CB00FD" w:rsidRPr="008D1755" w:rsidRDefault="00CB00FD" w:rsidP="00CB00FD">
            <w:pPr>
              <w:pStyle w:val="VHBAtablebullet1"/>
            </w:pPr>
            <w:r w:rsidRPr="008D1755">
              <w:t>Equipment (</w:t>
            </w:r>
            <w:r>
              <w:t>m</w:t>
            </w:r>
            <w:r w:rsidRPr="008D1755">
              <w:t>edical)</w:t>
            </w:r>
          </w:p>
          <w:p w14:paraId="53FFFDFA" w14:textId="77777777" w:rsidR="00CB00FD" w:rsidRPr="008D1755" w:rsidRDefault="00CB00FD" w:rsidP="00CB00FD">
            <w:pPr>
              <w:pStyle w:val="VHBAtablebullet1"/>
            </w:pPr>
            <w:r w:rsidRPr="008D1755">
              <w:t>Fire safety</w:t>
            </w:r>
          </w:p>
          <w:p w14:paraId="1EBF5430" w14:textId="77777777" w:rsidR="00CB00FD" w:rsidRPr="008D1755" w:rsidRDefault="00CB00FD" w:rsidP="00CB00FD">
            <w:pPr>
              <w:pStyle w:val="VHBAtablebullet1"/>
            </w:pPr>
            <w:r w:rsidRPr="008D1755">
              <w:t xml:space="preserve">Nurse </w:t>
            </w:r>
            <w:r>
              <w:t>c</w:t>
            </w:r>
            <w:r w:rsidRPr="008D1755">
              <w:t>all</w:t>
            </w:r>
          </w:p>
          <w:p w14:paraId="2D0D6C49" w14:textId="77777777" w:rsidR="00CB00FD" w:rsidRPr="008D1755" w:rsidRDefault="00CB00FD" w:rsidP="00CB00FD">
            <w:pPr>
              <w:pStyle w:val="VHBAtablebullet1"/>
            </w:pPr>
            <w:r w:rsidRPr="008D1755">
              <w:t>Security</w:t>
            </w:r>
            <w:r>
              <w:t xml:space="preserve"> </w:t>
            </w:r>
          </w:p>
          <w:p w14:paraId="770004DB" w14:textId="77777777" w:rsidR="00CB00FD" w:rsidRPr="008D1755" w:rsidRDefault="00CB00FD" w:rsidP="00CB00FD">
            <w:pPr>
              <w:pStyle w:val="VHBAtablebullet1"/>
            </w:pPr>
            <w:r w:rsidRPr="008D1755">
              <w:t>Wi-Fi upgrade</w:t>
            </w:r>
            <w:r>
              <w:t xml:space="preserve"> </w:t>
            </w:r>
          </w:p>
          <w:p w14:paraId="56C74BAE" w14:textId="77777777" w:rsidR="00CB00FD" w:rsidRPr="008D1755" w:rsidRDefault="00CB00FD" w:rsidP="00CB00FD">
            <w:pPr>
              <w:pStyle w:val="VHBAtablebullet1"/>
            </w:pPr>
            <w:r w:rsidRPr="008D1755">
              <w:t>Software/</w:t>
            </w:r>
            <w:r>
              <w:t>h</w:t>
            </w:r>
            <w:r w:rsidRPr="008D1755">
              <w:t>ardware</w:t>
            </w:r>
          </w:p>
          <w:p w14:paraId="36AF3172" w14:textId="77777777" w:rsidR="00CB00FD" w:rsidRPr="008D1755" w:rsidRDefault="00CB00FD" w:rsidP="00CB00FD">
            <w:pPr>
              <w:pStyle w:val="VHBAtablebullet1"/>
            </w:pPr>
            <w:r w:rsidRPr="008D1755">
              <w:t>Duress alarms</w:t>
            </w:r>
          </w:p>
          <w:p w14:paraId="7A08B714" w14:textId="77777777" w:rsidR="00CB00FD" w:rsidRPr="008D1755" w:rsidRDefault="00CB00FD" w:rsidP="00CB00FD">
            <w:pPr>
              <w:pStyle w:val="VHBAtablebullet1"/>
            </w:pPr>
            <w:r w:rsidRPr="008D1755">
              <w:t>Infection prevention and control</w:t>
            </w:r>
          </w:p>
          <w:p w14:paraId="3B648436" w14:textId="77777777" w:rsidR="00CB00FD" w:rsidRPr="008D1755" w:rsidRDefault="00CB00FD" w:rsidP="00CB00FD">
            <w:pPr>
              <w:pStyle w:val="VHBAtablebullet1"/>
            </w:pPr>
            <w:r w:rsidRPr="008D1755">
              <w:t>Healthcare worker safety</w:t>
            </w:r>
            <w:r>
              <w:t xml:space="preserve"> </w:t>
            </w:r>
          </w:p>
          <w:p w14:paraId="1A30CE88" w14:textId="77777777" w:rsidR="00CB00FD" w:rsidRPr="008D1755" w:rsidRDefault="00CB00FD" w:rsidP="00CB00FD">
            <w:pPr>
              <w:pStyle w:val="VHBAtablebullet1"/>
            </w:pPr>
            <w:r w:rsidRPr="008D1755">
              <w:t>Other</w:t>
            </w:r>
          </w:p>
        </w:tc>
        <w:tc>
          <w:tcPr>
            <w:tcW w:w="5027" w:type="dxa"/>
            <w:tcBorders>
              <w:top w:val="single" w:sz="4" w:space="0" w:color="850024" w:themeColor="text2"/>
              <w:bottom w:val="single" w:sz="18" w:space="0" w:color="850024" w:themeColor="text2"/>
            </w:tcBorders>
          </w:tcPr>
          <w:p w14:paraId="5D6FF2BF" w14:textId="77777777" w:rsidR="00CB00FD" w:rsidRPr="008D1755" w:rsidRDefault="00CB00FD" w:rsidP="00CB00FD">
            <w:pPr>
              <w:pStyle w:val="VHBAtablebullet1"/>
            </w:pPr>
            <w:r w:rsidRPr="71BBB938">
              <w:t xml:space="preserve">Upload of minimum sustainability checklist is not required for these project types. </w:t>
            </w:r>
          </w:p>
          <w:p w14:paraId="2AC08432" w14:textId="77777777" w:rsidR="00CB00FD" w:rsidRPr="008D1755" w:rsidRDefault="00CB00FD" w:rsidP="00CB00FD">
            <w:pPr>
              <w:pStyle w:val="VHBAtablebullet1"/>
            </w:pPr>
            <w:r w:rsidRPr="008D1755">
              <w:t>These projects have limited enhanced sustainability initiatives.</w:t>
            </w:r>
          </w:p>
        </w:tc>
      </w:tr>
    </w:tbl>
    <w:p w14:paraId="2370474F" w14:textId="77777777" w:rsidR="00CB00FD" w:rsidRPr="008D1755" w:rsidRDefault="00CB00FD" w:rsidP="00CB00FD">
      <w:pPr>
        <w:pStyle w:val="Heading2"/>
        <w:numPr>
          <w:ilvl w:val="0"/>
          <w:numId w:val="0"/>
        </w:numPr>
      </w:pPr>
      <w:bookmarkStart w:id="210" w:name="_Toc103958989"/>
      <w:bookmarkStart w:id="211" w:name="_Toc105427784"/>
      <w:bookmarkStart w:id="212" w:name="_Toc217317859"/>
      <w:bookmarkStart w:id="213" w:name="_Toc217405522"/>
      <w:bookmarkEnd w:id="208"/>
      <w:r>
        <w:t>Submission process</w:t>
      </w:r>
      <w:bookmarkEnd w:id="210"/>
      <w:bookmarkEnd w:id="211"/>
      <w:bookmarkEnd w:id="212"/>
      <w:bookmarkEnd w:id="213"/>
    </w:p>
    <w:p w14:paraId="256C54F4" w14:textId="77777777" w:rsidR="00CB00FD" w:rsidRPr="008D1755" w:rsidRDefault="00CB00FD" w:rsidP="00CB00FD">
      <w:pPr>
        <w:pStyle w:val="VHBABodyBold"/>
      </w:pPr>
      <w:bookmarkStart w:id="214" w:name="_Toc102820400"/>
      <w:bookmarkStart w:id="215" w:name="_Toc103958990"/>
      <w:r w:rsidRPr="008D1755">
        <w:t>How do I show evidence of compliance of sustainability initiatives?</w:t>
      </w:r>
      <w:bookmarkEnd w:id="214"/>
      <w:bookmarkEnd w:id="215"/>
    </w:p>
    <w:p w14:paraId="4803D168" w14:textId="77777777" w:rsidR="00CB00FD" w:rsidRPr="008D1755" w:rsidRDefault="00CB00FD" w:rsidP="00CB00FD">
      <w:pPr>
        <w:pStyle w:val="VHBAbody"/>
      </w:pPr>
      <w:r w:rsidRPr="71BBB938">
        <w:t xml:space="preserve">All applicants are required to upload the </w:t>
      </w:r>
      <w:r w:rsidRPr="71BBB938">
        <w:rPr>
          <w:i/>
          <w:iCs/>
        </w:rPr>
        <w:t>Sustainability Checklist for Grants Programs</w:t>
      </w:r>
      <w:r w:rsidRPr="71BBB938">
        <w:t xml:space="preserve"> as part of the Stage 2 form via the SmartyGrants submission. For projects with limited opportunity for sustainability outcomes, completion of the </w:t>
      </w:r>
      <w:r w:rsidRPr="71BBB938">
        <w:rPr>
          <w:i/>
          <w:iCs/>
        </w:rPr>
        <w:t>Sustainability Checklist for Grants Programs</w:t>
      </w:r>
      <w:r w:rsidRPr="71BBB938">
        <w:t xml:space="preserve"> is not required.</w:t>
      </w:r>
    </w:p>
    <w:p w14:paraId="55856888" w14:textId="77777777" w:rsidR="00CB00FD" w:rsidRPr="008D1755" w:rsidRDefault="00CB00FD" w:rsidP="00CB00FD">
      <w:pPr>
        <w:pStyle w:val="VHBABodyBold"/>
      </w:pPr>
      <w:bookmarkStart w:id="216" w:name="_Toc103958991"/>
      <w:r w:rsidRPr="008D1755">
        <w:t xml:space="preserve">What are the implications for not including sustainability initiatives in my </w:t>
      </w:r>
      <w:r>
        <w:t>submission</w:t>
      </w:r>
      <w:r w:rsidRPr="008D1755">
        <w:t>?</w:t>
      </w:r>
      <w:bookmarkEnd w:id="216"/>
    </w:p>
    <w:p w14:paraId="7A081CDE" w14:textId="77777777" w:rsidR="00CB00FD" w:rsidRPr="008D1755" w:rsidRDefault="00CB00FD" w:rsidP="00CB00FD">
      <w:pPr>
        <w:pStyle w:val="VHBAbody"/>
      </w:pPr>
      <w:r w:rsidRPr="71BBB938">
        <w:t xml:space="preserve">Sustainability initiatives contribute to better patient and staff outcomes, lower operating costs and carbon emissions, and support government policy on climate change. Therefore, not embedding sustainability in projects will result in higher carbon emissions, higher operating costs, and the project not potentially complying with government policy. </w:t>
      </w:r>
    </w:p>
    <w:p w14:paraId="24486D55" w14:textId="77777777" w:rsidR="00CB00FD" w:rsidRPr="008D1755" w:rsidRDefault="00CB00FD" w:rsidP="00CB00FD">
      <w:pPr>
        <w:pStyle w:val="VHBAbody"/>
      </w:pPr>
      <w:r w:rsidRPr="71BBB938">
        <w:t xml:space="preserve">Projects that do not have provision for minimum sustainability requirements in their submission will be subject to additional design, cost, and scope clarification meetings, for resolution in the submission review phase, and may be viewed less positively as submissions which have embedded sustainability. </w:t>
      </w:r>
    </w:p>
    <w:p w14:paraId="099712F3" w14:textId="77777777" w:rsidR="00CB00FD" w:rsidRPr="008D1755" w:rsidRDefault="00CB00FD" w:rsidP="00CB00FD">
      <w:pPr>
        <w:pStyle w:val="VHBAbody"/>
      </w:pPr>
      <w:r w:rsidRPr="71BBB938">
        <w:lastRenderedPageBreak/>
        <w:t>An energy and water inefficient building can also negatively impact the NABER</w:t>
      </w:r>
      <w:r>
        <w:t>S</w:t>
      </w:r>
      <w:r>
        <w:rPr>
          <w:vertAlign w:val="superscript"/>
        </w:rPr>
        <w:footnoteReference w:id="1"/>
      </w:r>
      <w:r w:rsidRPr="71BBB938">
        <w:t xml:space="preserve"> energy and water ratings</w:t>
      </w:r>
      <w:r>
        <w:t>.</w:t>
      </w:r>
    </w:p>
    <w:p w14:paraId="03BEA92E" w14:textId="77777777" w:rsidR="00CB00FD" w:rsidRPr="008D1755" w:rsidRDefault="00CB00FD" w:rsidP="00CB00FD">
      <w:pPr>
        <w:pStyle w:val="Heading2"/>
        <w:numPr>
          <w:ilvl w:val="0"/>
          <w:numId w:val="0"/>
        </w:numPr>
      </w:pPr>
      <w:bookmarkStart w:id="217" w:name="_Toc103958992"/>
      <w:bookmarkStart w:id="218" w:name="_Toc105427785"/>
      <w:bookmarkStart w:id="219" w:name="_Toc217317860"/>
      <w:bookmarkStart w:id="220" w:name="_Toc217405523"/>
      <w:r>
        <w:t>Project delivery</w:t>
      </w:r>
      <w:bookmarkEnd w:id="217"/>
      <w:bookmarkEnd w:id="218"/>
      <w:bookmarkEnd w:id="219"/>
      <w:bookmarkEnd w:id="220"/>
    </w:p>
    <w:p w14:paraId="446D0654" w14:textId="77777777" w:rsidR="00CB00FD" w:rsidRPr="008D1755" w:rsidRDefault="00CB00FD" w:rsidP="00CB00FD">
      <w:pPr>
        <w:pStyle w:val="VHBABodyBold"/>
      </w:pPr>
      <w:bookmarkStart w:id="221" w:name="_Toc102820395"/>
      <w:bookmarkStart w:id="222" w:name="_Toc103958993"/>
      <w:r w:rsidRPr="71BBB938">
        <w:t>Who is responsible for implementing sustainability requirements on my project?</w:t>
      </w:r>
      <w:bookmarkEnd w:id="221"/>
      <w:bookmarkEnd w:id="222"/>
    </w:p>
    <w:p w14:paraId="25989C55" w14:textId="77777777" w:rsidR="00CB00FD" w:rsidRPr="008D1755" w:rsidRDefault="00CB00FD" w:rsidP="00CB00FD">
      <w:pPr>
        <w:pStyle w:val="VHBAbody"/>
      </w:pPr>
      <w:r w:rsidRPr="71BBB938">
        <w:t>Like all project requirements, health services are responsible for ensuring sustainability requirements are implemented as part of the project. It is recommended that a dedicated ESD workshop is held early in the project to ensure all stakeholders are aware of the sustainability objectives, key opportunities are identified and there is role clarity for implementing the sustainability requirements.</w:t>
      </w:r>
    </w:p>
    <w:p w14:paraId="6AB23E38" w14:textId="77777777" w:rsidR="00CB00FD" w:rsidRPr="008D1755" w:rsidRDefault="00CB00FD" w:rsidP="00CB00FD">
      <w:pPr>
        <w:pStyle w:val="VHBAbody"/>
      </w:pPr>
      <w:r w:rsidRPr="008D1755">
        <w:t>Options for ensuring the full sustainability potential for the project is achieved include:</w:t>
      </w:r>
    </w:p>
    <w:p w14:paraId="5309E646" w14:textId="77777777" w:rsidR="00CB00FD" w:rsidRPr="008D1755" w:rsidRDefault="00CB00FD" w:rsidP="00CB00FD">
      <w:pPr>
        <w:pStyle w:val="VHBAbullet1"/>
        <w:ind w:left="397" w:hanging="397"/>
      </w:pPr>
      <w:r w:rsidRPr="008D1755">
        <w:t>engaging a dedicated ESD consultant (recommended for construction projects over $5million),</w:t>
      </w:r>
    </w:p>
    <w:p w14:paraId="3DD3F5E7" w14:textId="77777777" w:rsidR="00CB00FD" w:rsidRPr="008D1755" w:rsidRDefault="00CB00FD" w:rsidP="00CB00FD">
      <w:pPr>
        <w:pStyle w:val="VHBAbullet1"/>
        <w:ind w:left="397" w:hanging="397"/>
      </w:pPr>
      <w:r w:rsidRPr="71BBB938">
        <w:t>building requirements into the role of the architect, services engineer or project manager,</w:t>
      </w:r>
    </w:p>
    <w:p w14:paraId="078D7D08" w14:textId="77777777" w:rsidR="00CB00FD" w:rsidRPr="008D1755" w:rsidRDefault="00CB00FD" w:rsidP="00CB00FD">
      <w:pPr>
        <w:pStyle w:val="VHBAbullet1"/>
        <w:ind w:left="397" w:hanging="397"/>
      </w:pPr>
      <w:r w:rsidRPr="71BBB938">
        <w:t>specifying sustainability objectives and requirements in the tender package for the contractor.</w:t>
      </w:r>
    </w:p>
    <w:p w14:paraId="5A0254C7" w14:textId="77777777" w:rsidR="00CB00FD" w:rsidRPr="00A5552A" w:rsidRDefault="00CB00FD" w:rsidP="00CB00FD">
      <w:pPr>
        <w:pStyle w:val="VHBAbodyafterbullets"/>
        <w:rPr>
          <w:rStyle w:val="Strong"/>
        </w:rPr>
      </w:pPr>
      <w:bookmarkStart w:id="223" w:name="_Toc103958994"/>
      <w:r w:rsidRPr="00A5552A">
        <w:rPr>
          <w:rStyle w:val="Strong"/>
        </w:rPr>
        <w:t>What sustainability data must I provide to VHBA upon project completion?</w:t>
      </w:r>
      <w:bookmarkEnd w:id="223"/>
    </w:p>
    <w:p w14:paraId="267B2AF7" w14:textId="77777777" w:rsidR="00CB00FD" w:rsidRPr="008D1755" w:rsidRDefault="00CB00FD" w:rsidP="00CB00FD">
      <w:pPr>
        <w:rPr>
          <w:rFonts w:cs="Arial"/>
        </w:rPr>
      </w:pPr>
      <w:r w:rsidRPr="008D1755">
        <w:rPr>
          <w:rFonts w:cs="Arial"/>
        </w:rPr>
        <w:t>For all construction and refurbishment projects that:</w:t>
      </w:r>
    </w:p>
    <w:p w14:paraId="5E2C02F2" w14:textId="77777777" w:rsidR="00CB00FD" w:rsidRPr="00D01718" w:rsidRDefault="00CB00FD" w:rsidP="00CB00FD">
      <w:pPr>
        <w:pStyle w:val="VHBAbullet1"/>
        <w:ind w:left="397" w:hanging="397"/>
      </w:pPr>
      <w:r w:rsidRPr="00D01718">
        <w:t>changes an existing assets floor area</w:t>
      </w:r>
    </w:p>
    <w:p w14:paraId="5979E71D" w14:textId="77777777" w:rsidR="00CB00FD" w:rsidRPr="00D01718" w:rsidRDefault="00CB00FD" w:rsidP="00CB00FD">
      <w:pPr>
        <w:pStyle w:val="VHBAbullet1"/>
        <w:ind w:left="397" w:hanging="397"/>
      </w:pPr>
      <w:r w:rsidRPr="00D01718">
        <w:t>changes the type of service provided in an asset</w:t>
      </w:r>
    </w:p>
    <w:p w14:paraId="34A41E46" w14:textId="77777777" w:rsidR="00CB00FD" w:rsidRPr="00D01718" w:rsidRDefault="00CB00FD" w:rsidP="00CB00FD">
      <w:pPr>
        <w:pStyle w:val="VHBAbullet1"/>
        <w:ind w:left="397" w:hanging="397"/>
      </w:pPr>
      <w:r w:rsidRPr="00D01718">
        <w:t>builds a new asset</w:t>
      </w:r>
    </w:p>
    <w:p w14:paraId="172A3BFF" w14:textId="77777777" w:rsidR="00CB00FD" w:rsidRPr="00D01718" w:rsidRDefault="00CB00FD" w:rsidP="00CB00FD">
      <w:pPr>
        <w:pStyle w:val="VHBAbullet1"/>
        <w:ind w:left="397" w:hanging="397"/>
      </w:pPr>
      <w:r w:rsidRPr="00D01718">
        <w:t>changes the electricity or gas retailer</w:t>
      </w:r>
    </w:p>
    <w:p w14:paraId="4A4C73F0" w14:textId="77777777" w:rsidR="00CB00FD" w:rsidRPr="00D01718" w:rsidRDefault="00CB00FD" w:rsidP="00CB00FD">
      <w:pPr>
        <w:pStyle w:val="VHBAbullet1"/>
        <w:ind w:left="397" w:hanging="397"/>
      </w:pPr>
      <w:r w:rsidRPr="71BBB938">
        <w:t xml:space="preserve">installs a new ‘gate’ meter for electricity, </w:t>
      </w:r>
      <w:r>
        <w:t xml:space="preserve">or </w:t>
      </w:r>
      <w:r w:rsidRPr="71BBB938">
        <w:t xml:space="preserve">water or </w:t>
      </w:r>
      <w:r>
        <w:t>removes a mains gas meter.</w:t>
      </w:r>
    </w:p>
    <w:p w14:paraId="720890E8" w14:textId="77777777" w:rsidR="00CB00FD" w:rsidRPr="008D1755" w:rsidRDefault="00CB00FD" w:rsidP="00CB00FD">
      <w:pPr>
        <w:pStyle w:val="VHBAbody"/>
      </w:pPr>
      <w:r w:rsidRPr="008D1755">
        <w:t xml:space="preserve">the health service must complete and send to VHBA the environmental data management system template as shown in </w:t>
      </w:r>
      <w:r w:rsidRPr="00A5552A">
        <w:rPr>
          <w:i/>
          <w:iCs/>
        </w:rPr>
        <w:t>Appendix 4: Environmental data management system requirements</w:t>
      </w:r>
      <w:r w:rsidRPr="008D1755">
        <w:t xml:space="preserve"> of </w:t>
      </w:r>
      <w:r>
        <w:t xml:space="preserve">the </w:t>
      </w:r>
      <w:hyperlink r:id="rId63">
        <w:r w:rsidRPr="00C06FE0">
          <w:rPr>
            <w:rStyle w:val="Hyperlink"/>
            <w:rFonts w:cs="Arial"/>
          </w:rPr>
          <w:t>Guidelines</w:t>
        </w:r>
      </w:hyperlink>
      <w:r>
        <w:t xml:space="preserve"> &lt;</w:t>
      </w:r>
      <w:r w:rsidRPr="00B52D7F">
        <w:t xml:space="preserve"> https://www.vhba.vic.gov.au/guidelines-sustainability-capital-works </w:t>
      </w:r>
      <w:r>
        <w:t xml:space="preserve">&gt;. </w:t>
      </w:r>
    </w:p>
    <w:p w14:paraId="4DAC0280" w14:textId="77777777" w:rsidR="00CB00FD" w:rsidRPr="008D1755" w:rsidRDefault="00CB00FD" w:rsidP="00CB00FD">
      <w:pPr>
        <w:pStyle w:val="VHBAbody"/>
      </w:pPr>
      <w:bookmarkStart w:id="224" w:name="_Toc102820399"/>
      <w:r w:rsidRPr="008D1755">
        <w:t xml:space="preserve">Projects that install a solar array must meet the requirements of VHBA’s </w:t>
      </w:r>
      <w:hyperlink r:id="rId64" w:history="1">
        <w:r w:rsidRPr="00546B76">
          <w:rPr>
            <w:rStyle w:val="Hyperlink"/>
            <w:rFonts w:cs="Arial"/>
          </w:rPr>
          <w:t>reporting of solar photovoltaic data</w:t>
        </w:r>
      </w:hyperlink>
      <w:r>
        <w:t xml:space="preserve"> &lt;</w:t>
      </w:r>
      <w:r w:rsidRPr="006D0D8C">
        <w:t>https://www.vhba.vic.gov.au/reporting-solar-photovoltaic-data</w:t>
      </w:r>
      <w:r>
        <w:t xml:space="preserve">&gt;. </w:t>
      </w:r>
    </w:p>
    <w:p w14:paraId="5AE8C9D5" w14:textId="77777777" w:rsidR="00CB00FD" w:rsidRPr="008D1755" w:rsidRDefault="00CB00FD" w:rsidP="00CB00FD">
      <w:pPr>
        <w:pStyle w:val="Heading2"/>
        <w:numPr>
          <w:ilvl w:val="0"/>
          <w:numId w:val="0"/>
        </w:numPr>
      </w:pPr>
      <w:bookmarkStart w:id="225" w:name="_Toc102820401"/>
      <w:bookmarkStart w:id="226" w:name="_Toc103958995"/>
      <w:bookmarkStart w:id="227" w:name="_Toc105427786"/>
      <w:bookmarkStart w:id="228" w:name="_Toc217317861"/>
      <w:bookmarkStart w:id="229" w:name="_Toc217405524"/>
      <w:bookmarkEnd w:id="224"/>
      <w:r>
        <w:t>Resources</w:t>
      </w:r>
      <w:bookmarkEnd w:id="225"/>
      <w:bookmarkEnd w:id="226"/>
      <w:bookmarkEnd w:id="227"/>
      <w:bookmarkEnd w:id="228"/>
      <w:bookmarkEnd w:id="229"/>
    </w:p>
    <w:p w14:paraId="2F93C859" w14:textId="77777777" w:rsidR="00CB00FD" w:rsidRPr="008D1755" w:rsidRDefault="00CB00FD" w:rsidP="00CB00FD">
      <w:pPr>
        <w:rPr>
          <w:rFonts w:cs="Arial"/>
          <w:b/>
        </w:rPr>
      </w:pPr>
      <w:bookmarkStart w:id="230" w:name="_Toc102820402"/>
      <w:bookmarkStart w:id="231" w:name="_Toc103958996"/>
      <w:r w:rsidRPr="008D1755">
        <w:rPr>
          <w:rFonts w:cs="Arial"/>
          <w:b/>
        </w:rPr>
        <w:t>Where can I access more information on sustainability guidelines and initiatives for my project?</w:t>
      </w:r>
      <w:bookmarkEnd w:id="230"/>
      <w:bookmarkEnd w:id="231"/>
    </w:p>
    <w:p w14:paraId="5379BB3F" w14:textId="77777777" w:rsidR="00CB00FD" w:rsidRPr="008D1755" w:rsidRDefault="00CB00FD" w:rsidP="00CB00FD">
      <w:pPr>
        <w:rPr>
          <w:rFonts w:cs="Arial"/>
        </w:rPr>
      </w:pPr>
      <w:r w:rsidRPr="008D1755">
        <w:rPr>
          <w:rFonts w:cs="Arial"/>
        </w:rPr>
        <w:t xml:space="preserve">Applicants should refer to the following resources in the preparation of grant </w:t>
      </w:r>
      <w:r>
        <w:rPr>
          <w:rFonts w:cs="Arial"/>
        </w:rPr>
        <w:t>submissions</w:t>
      </w:r>
      <w:r w:rsidRPr="008D1755">
        <w:rPr>
          <w:rFonts w:cs="Arial"/>
        </w:rPr>
        <w:t xml:space="preserve"> and delivery of grants projects, referred to throughout this document:</w:t>
      </w:r>
    </w:p>
    <w:p w14:paraId="00115395" w14:textId="77777777" w:rsidR="00CB00FD" w:rsidRPr="008D1755" w:rsidRDefault="00CB00FD" w:rsidP="00CB00FD">
      <w:pPr>
        <w:numPr>
          <w:ilvl w:val="0"/>
          <w:numId w:val="49"/>
        </w:numPr>
        <w:spacing w:before="0" w:line="270" w:lineRule="atLeast"/>
        <w:rPr>
          <w:rFonts w:cs="Arial"/>
        </w:rPr>
      </w:pPr>
      <w:r w:rsidRPr="00546B76">
        <w:rPr>
          <w:rFonts w:cs="Arial"/>
          <w:i/>
          <w:iCs/>
        </w:rPr>
        <w:t>Sustainability Checklist for Grants Programs</w:t>
      </w:r>
      <w:r w:rsidRPr="008D1755">
        <w:rPr>
          <w:rFonts w:cs="Arial"/>
          <w:b/>
          <w:bCs/>
        </w:rPr>
        <w:t>,</w:t>
      </w:r>
      <w:r w:rsidRPr="008D1755">
        <w:rPr>
          <w:rFonts w:cs="Arial"/>
        </w:rPr>
        <w:t xml:space="preserve"> to be included in your grant </w:t>
      </w:r>
      <w:r>
        <w:rPr>
          <w:rFonts w:cs="Arial"/>
        </w:rPr>
        <w:t>submission</w:t>
      </w:r>
      <w:r w:rsidRPr="008D1755">
        <w:rPr>
          <w:rFonts w:cs="Arial"/>
        </w:rPr>
        <w:t>.</w:t>
      </w:r>
    </w:p>
    <w:p w14:paraId="33C019A0" w14:textId="77777777" w:rsidR="00CB00FD" w:rsidRDefault="00CB00FD" w:rsidP="00CB00FD">
      <w:pPr>
        <w:pStyle w:val="VHBAbullet1"/>
        <w:ind w:left="397" w:hanging="397"/>
      </w:pPr>
      <w:r>
        <w:t>Guidelines for sustainability in health care capital works</w:t>
      </w:r>
      <w:r w:rsidRPr="0E6692EC">
        <w:rPr>
          <w:color w:val="0563C1"/>
          <w:u w:val="dotted"/>
        </w:rPr>
        <w:t xml:space="preserve"> </w:t>
      </w:r>
      <w:hyperlink r:id="rId65">
        <w:r w:rsidRPr="2F6DCF68">
          <w:rPr>
            <w:rStyle w:val="Hyperlink"/>
          </w:rPr>
          <w:t>&lt;</w:t>
        </w:r>
        <w:r w:rsidRPr="2F6DCF68">
          <w:rPr>
            <w:rStyle w:val="Hyperlink"/>
            <w:rFonts w:cs="Arial"/>
          </w:rPr>
          <w:t>https://www.vhba.vic.gov.au/resources/environmental-sustainability&gt;</w:t>
        </w:r>
      </w:hyperlink>
      <w:r w:rsidRPr="00BD1ACE">
        <w:rPr>
          <w:rFonts w:cs="Arial"/>
        </w:rPr>
        <w:t xml:space="preserve"> </w:t>
      </w:r>
      <w:r w:rsidRPr="0E6692EC">
        <w:rPr>
          <w:rFonts w:cs="Arial"/>
        </w:rPr>
        <w:t xml:space="preserve"> </w:t>
      </w:r>
      <w:r>
        <w:t xml:space="preserve">(including in that document Appendix </w:t>
      </w:r>
      <w:r w:rsidR="00986791">
        <w:t>B</w:t>
      </w:r>
      <w:r>
        <w:t>: Business as usual requirements and Appendix 4: Environmental data management system requirements).</w:t>
      </w:r>
    </w:p>
    <w:p w14:paraId="6BA3E631" w14:textId="77777777" w:rsidR="00CB00FD" w:rsidRPr="008D1755" w:rsidRDefault="00CB00FD" w:rsidP="00CB00FD">
      <w:pPr>
        <w:pStyle w:val="VHBAbullet1"/>
        <w:ind w:left="397" w:hanging="397"/>
      </w:pPr>
      <w:r w:rsidRPr="0039615B">
        <w:t>Health technical advice (HTA) notes are available on the VHBA environmental sustainability website: https://www.vhba.vic.gov.au/resources/environmental-sustainability</w:t>
      </w:r>
    </w:p>
    <w:p w14:paraId="09C2CFD4" w14:textId="77777777" w:rsidR="00CB00FD" w:rsidRDefault="00CB00FD" w:rsidP="00CB00FD">
      <w:pPr>
        <w:rPr>
          <w:rFonts w:cs="Arial"/>
          <w:b/>
        </w:rPr>
      </w:pPr>
      <w:bookmarkStart w:id="232" w:name="_Toc102820403"/>
      <w:bookmarkStart w:id="233" w:name="_Toc103958997"/>
    </w:p>
    <w:p w14:paraId="11ABAC65" w14:textId="77777777" w:rsidR="00CB00FD" w:rsidRPr="008D1755" w:rsidRDefault="00CB00FD" w:rsidP="00CB00FD">
      <w:pPr>
        <w:rPr>
          <w:rFonts w:cs="Arial"/>
          <w:b/>
          <w:bCs/>
        </w:rPr>
      </w:pPr>
      <w:r w:rsidRPr="71BBB938">
        <w:rPr>
          <w:rFonts w:cs="Arial"/>
          <w:b/>
          <w:bCs/>
        </w:rPr>
        <w:lastRenderedPageBreak/>
        <w:t>Who can I contact if I have any questions regarding sustainability on my submission?</w:t>
      </w:r>
      <w:bookmarkEnd w:id="232"/>
      <w:bookmarkEnd w:id="233"/>
    </w:p>
    <w:p w14:paraId="020150E6" w14:textId="77777777" w:rsidR="00CB00FD" w:rsidRDefault="00CB00FD" w:rsidP="00CB00FD">
      <w:pPr>
        <w:pStyle w:val="VHBAbody"/>
      </w:pPr>
      <w:r w:rsidRPr="008D1755">
        <w:t xml:space="preserve">Please email </w:t>
      </w:r>
      <w:r>
        <w:t xml:space="preserve">the </w:t>
      </w:r>
      <w:hyperlink r:id="rId66">
        <w:r w:rsidRPr="2F6DCF68">
          <w:rPr>
            <w:rStyle w:val="Hyperlink"/>
            <w:rFonts w:cs="Arial"/>
          </w:rPr>
          <w:t>RHIF Applications team</w:t>
        </w:r>
      </w:hyperlink>
      <w:r>
        <w:t xml:space="preserve"> &lt;</w:t>
      </w:r>
      <w:r w:rsidRPr="00F33270">
        <w:t xml:space="preserve"> rhif-applications.vhba@vida.vic.gov.au</w:t>
      </w:r>
      <w:r>
        <w:t>&gt;</w:t>
      </w:r>
      <w:r w:rsidRPr="008D1755">
        <w:t xml:space="preserve"> for any questions relating to sustainability on your project. </w:t>
      </w:r>
    </w:p>
    <w:p w14:paraId="07892F7F" w14:textId="77777777" w:rsidR="00CB00FD" w:rsidRDefault="00CB00FD" w:rsidP="00CB00FD">
      <w:pPr>
        <w:pStyle w:val="VHBAbody"/>
      </w:pPr>
    </w:p>
    <w:p w14:paraId="34EFC77F" w14:textId="77777777" w:rsidR="00CB00FD" w:rsidRDefault="00CB00FD" w:rsidP="00CB00FD">
      <w:pPr>
        <w:pStyle w:val="VHBAbody"/>
      </w:pPr>
    </w:p>
    <w:tbl>
      <w:tblPr>
        <w:tblW w:w="5000" w:type="pct"/>
        <w:tblInd w:w="113" w:type="dxa"/>
        <w:tblCellMar>
          <w:top w:w="113" w:type="dxa"/>
          <w:bottom w:w="57" w:type="dxa"/>
        </w:tblCellMar>
        <w:tblLook w:val="00A0" w:firstRow="1" w:lastRow="0" w:firstColumn="1" w:lastColumn="0" w:noHBand="0" w:noVBand="0"/>
      </w:tblPr>
      <w:tblGrid>
        <w:gridCol w:w="9628"/>
      </w:tblGrid>
      <w:tr w:rsidR="00CB00FD" w14:paraId="02779E93" w14:textId="77777777" w:rsidTr="00F85AFC">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6DC531FC" w14:textId="77777777" w:rsidR="00CB00FD" w:rsidRPr="008D1755" w:rsidRDefault="00CB00FD" w:rsidP="00F85AFC">
            <w:pPr>
              <w:rPr>
                <w:color w:val="0563C1"/>
                <w:u w:val="dotted"/>
              </w:rPr>
            </w:pPr>
            <w:r w:rsidRPr="008D1755">
              <w:t xml:space="preserve">To receive this publication in an accessible format email </w:t>
            </w:r>
            <w:hyperlink r:id="rId67" w:history="1">
              <w:r w:rsidRPr="00546B76">
                <w:rPr>
                  <w:rStyle w:val="Hyperlink"/>
                  <w:rFonts w:cs="Arial"/>
                </w:rPr>
                <w:t>RHIF Applications team</w:t>
              </w:r>
            </w:hyperlink>
            <w:r>
              <w:rPr>
                <w:rStyle w:val="Hyperlink"/>
                <w:rFonts w:cs="Arial"/>
              </w:rPr>
              <w:t xml:space="preserve"> </w:t>
            </w:r>
            <w:r w:rsidRPr="008D1755">
              <w:rPr>
                <w:rFonts w:cs="Arial"/>
              </w:rPr>
              <w:t>&lt;</w:t>
            </w:r>
            <w:r>
              <w:t xml:space="preserve"> </w:t>
            </w:r>
            <w:r w:rsidRPr="00482447">
              <w:t xml:space="preserve">rhif-applications.vhba@vida.vic.gov.au </w:t>
            </w:r>
            <w:r w:rsidRPr="008D1755">
              <w:t xml:space="preserve">&gt; </w:t>
            </w:r>
          </w:p>
          <w:p w14:paraId="411B7FDA" w14:textId="77777777" w:rsidR="00CB00FD" w:rsidRPr="008D1755" w:rsidRDefault="00CB00FD" w:rsidP="00F85AFC">
            <w:r w:rsidRPr="008D1755">
              <w:t>Authorised and published by the Victorian Government, 1 Treasury Place, Melbourne.</w:t>
            </w:r>
          </w:p>
          <w:p w14:paraId="5704B49F" w14:textId="77777777" w:rsidR="00CB00FD" w:rsidRPr="008D1755" w:rsidRDefault="00CB00FD" w:rsidP="00F85AFC">
            <w:r w:rsidRPr="008D1755">
              <w:t>© State of Victoria, Australia, Victorian Health Building Authority,</w:t>
            </w:r>
            <w:r w:rsidRPr="008D1755">
              <w:rPr>
                <w:color w:val="008950"/>
              </w:rPr>
              <w:t xml:space="preserve"> </w:t>
            </w:r>
            <w:r w:rsidRPr="5279ECD4">
              <w:t>November 2024</w:t>
            </w:r>
            <w:r w:rsidRPr="008D1755">
              <w:t>.</w:t>
            </w:r>
          </w:p>
          <w:p w14:paraId="6A921D36" w14:textId="77777777" w:rsidR="00CB00FD" w:rsidRPr="008D1755" w:rsidRDefault="00CB00FD" w:rsidP="00F85AFC">
            <w:pPr>
              <w:rPr>
                <w:color w:val="000000"/>
                <w:szCs w:val="19"/>
              </w:rPr>
            </w:pPr>
            <w:r w:rsidRPr="008D1755">
              <w:rPr>
                <w:szCs w:val="19"/>
              </w:rPr>
              <w:t xml:space="preserve">Available at </w:t>
            </w:r>
            <w:hyperlink r:id="rId68" w:history="1">
              <w:r w:rsidRPr="008D1755">
                <w:rPr>
                  <w:rFonts w:cs="Arial"/>
                  <w:color w:val="0563C1"/>
                  <w:u w:val="dotted"/>
                </w:rPr>
                <w:t>Regional Health Infrastructure Fund</w:t>
              </w:r>
            </w:hyperlink>
            <w:r w:rsidRPr="008D1755">
              <w:rPr>
                <w:rFonts w:cs="Arial"/>
              </w:rPr>
              <w:t xml:space="preserve"> </w:t>
            </w:r>
            <w:r w:rsidRPr="008D1755">
              <w:t>&lt;https://www.</w:t>
            </w:r>
            <w:r>
              <w:t>vhba</w:t>
            </w:r>
            <w:r w:rsidRPr="008D1755">
              <w:t xml:space="preserve">.vic.gov.au/health/regional-facilities/regional-health-infrastructure-fund&gt; </w:t>
            </w:r>
          </w:p>
        </w:tc>
      </w:tr>
    </w:tbl>
    <w:p w14:paraId="420B2DD7" w14:textId="77777777" w:rsidR="00CB00FD" w:rsidRPr="00CB00FD" w:rsidRDefault="00CB00FD" w:rsidP="00986791">
      <w:pPr>
        <w:pStyle w:val="BodyText"/>
      </w:pPr>
    </w:p>
    <w:sectPr w:rsidR="00CB00FD" w:rsidRPr="00CB00FD" w:rsidSect="00196F59">
      <w:footerReference w:type="even" r:id="rId69"/>
      <w:headerReference w:type="first" r:id="rId70"/>
      <w:footerReference w:type="first" r:id="rId71"/>
      <w:pgSz w:w="11906" w:h="16838" w:code="9"/>
      <w:pgMar w:top="1247"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615F1" w14:textId="77777777" w:rsidR="00BC42A9" w:rsidRDefault="00BC42A9" w:rsidP="00196F59">
      <w:pPr>
        <w:spacing w:before="0" w:after="0" w:line="240" w:lineRule="auto"/>
      </w:pPr>
      <w:r>
        <w:separator/>
      </w:r>
    </w:p>
  </w:endnote>
  <w:endnote w:type="continuationSeparator" w:id="0">
    <w:p w14:paraId="3565EE09" w14:textId="77777777" w:rsidR="00BC42A9" w:rsidRDefault="00BC42A9" w:rsidP="00196F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BDEE" w14:textId="452703A3" w:rsidR="00A73694" w:rsidRDefault="00A73694" w:rsidP="00F85AFC">
    <w:pPr>
      <w:pStyle w:val="Footer"/>
    </w:pPr>
    <w:r>
      <mc:AlternateContent>
        <mc:Choice Requires="wps">
          <w:drawing>
            <wp:anchor distT="0" distB="0" distL="0" distR="0" simplePos="0" relativeHeight="251658246" behindDoc="0" locked="0" layoutInCell="1" allowOverlap="1" wp14:anchorId="61A576D5" wp14:editId="23CCA11F">
              <wp:simplePos x="635" y="635"/>
              <wp:positionH relativeFrom="page">
                <wp:align>center</wp:align>
              </wp:positionH>
              <wp:positionV relativeFrom="page">
                <wp:align>bottom</wp:align>
              </wp:positionV>
              <wp:extent cx="551815" cy="528955"/>
              <wp:effectExtent l="0" t="0" r="6985" b="0"/>
              <wp:wrapNone/>
              <wp:docPr id="1478283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624A7D95" w14:textId="77777777" w:rsidR="00A73694" w:rsidRPr="007C5736" w:rsidRDefault="00A73694" w:rsidP="00F85AFC">
                          <w:pPr>
                            <w:spacing w:after="0"/>
                            <w:rPr>
                              <w:rFonts w:ascii="Calibri" w:eastAsia="Calibri" w:hAnsi="Calibri" w:cs="Calibri"/>
                              <w:noProof/>
                              <w:color w:val="FF0000"/>
                              <w:sz w:val="24"/>
                              <w:szCs w:val="24"/>
                            </w:rPr>
                          </w:pPr>
                          <w:r w:rsidRPr="007C573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A576D5" id="_x0000_t202" coordsize="21600,21600" o:spt="202" path="m,l,21600r21600,l21600,xe">
              <v:stroke joinstyle="miter"/>
              <v:path gradientshapeok="t" o:connecttype="rect"/>
            </v:shapetype>
            <v:shape id="Text Box 6" o:spid="_x0000_s1027" type="#_x0000_t202" alt="OFFICIAL" style="position:absolute;margin-left:0;margin-top:0;width:43.45pt;height:41.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" filled="f" stroked="f">
              <v:textbox style="mso-fit-shape-to-text:t" inset="0,0,0,15pt">
                <w:txbxContent>
                  <w:p w14:paraId="624A7D95" w14:textId="77777777" w:rsidR="00A73694" w:rsidRPr="007C5736" w:rsidRDefault="00A73694" w:rsidP="00F85AFC">
                    <w:pPr>
                      <w:spacing w:after="0"/>
                      <w:rPr>
                        <w:rFonts w:ascii="Calibri" w:eastAsia="Calibri" w:hAnsi="Calibri" w:cs="Calibri"/>
                        <w:noProof/>
                        <w:color w:val="FF0000"/>
                        <w:sz w:val="24"/>
                        <w:szCs w:val="24"/>
                      </w:rPr>
                    </w:pPr>
                    <w:r w:rsidRPr="007C5736">
                      <w:rPr>
                        <w:rFonts w:ascii="Calibri" w:eastAsia="Calibri" w:hAnsi="Calibri" w:cs="Calibri"/>
                        <w:noProof/>
                        <w:color w:val="FF0000"/>
                        <w:sz w:val="24"/>
                        <w:szCs w:val="24"/>
                      </w:rPr>
                      <w:t>OFFICIAL</w:t>
                    </w:r>
                  </w:p>
                </w:txbxContent>
              </v:textbox>
              <w10:wrap anchorx="page" anchory="page"/>
            </v:shape>
          </w:pict>
        </mc:Fallback>
      </mc:AlternateContent>
    </w:r>
    <w:r>
      <w:ptab w:relativeTo="margin" w:alignment="right" w:leader="none"/>
    </w:r>
    <w:r w:rsidRPr="00F06F1B">
      <w:fldChar w:fldCharType="begin"/>
    </w:r>
    <w:r w:rsidRPr="00F06F1B">
      <w:instrText xml:space="preserve"> IF</w:instrText>
    </w:r>
    <w:r w:rsidRPr="00F06F1B">
      <w:fldChar w:fldCharType="begin"/>
    </w:r>
    <w:r w:rsidRPr="00F06F1B">
      <w:instrText xml:space="preserve"> STYLEREF "</w:instrText>
    </w:r>
    <w:r w:rsidRPr="001C5257">
      <w:instrText>Cover 4 - Subtitle</w:instrText>
    </w:r>
    <w:r w:rsidRPr="00F06F1B">
      <w:instrText xml:space="preserve">" </w:instrText>
    </w:r>
    <w:r w:rsidRPr="00F06F1B">
      <w:fldChar w:fldCharType="separate"/>
    </w:r>
    <w:r w:rsidR="00224BF2">
      <w:instrText>Guidelines</w:instrText>
    </w:r>
    <w:r w:rsidRPr="00F06F1B">
      <w:fldChar w:fldCharType="end"/>
    </w:r>
    <w:r w:rsidRPr="00F06F1B">
      <w:instrText>&lt;&gt;"Error*""</w:instrText>
    </w:r>
    <w:r w:rsidRPr="00F06F1B">
      <w:fldChar w:fldCharType="begin"/>
    </w:r>
    <w:r w:rsidRPr="00F06F1B">
      <w:instrText xml:space="preserve"> STYLEREF "</w:instrText>
    </w:r>
    <w:r w:rsidRPr="001C5257">
      <w:instrText>Cover 4 - Subtitle</w:instrText>
    </w:r>
    <w:r w:rsidRPr="00F06F1B">
      <w:instrText>"</w:instrText>
    </w:r>
    <w:r w:rsidRPr="00F06F1B">
      <w:fldChar w:fldCharType="separate"/>
    </w:r>
    <w:r w:rsidR="00224BF2">
      <w:instrText>Guidelines</w:instrText>
    </w:r>
    <w:r w:rsidRPr="00F06F1B">
      <w:fldChar w:fldCharType="end"/>
    </w:r>
    <w:r w:rsidRPr="00F06F1B">
      <w:instrText>"</w:instrText>
    </w:r>
    <w:r w:rsidRPr="00F06F1B">
      <w:fldChar w:fldCharType="separate"/>
    </w:r>
    <w:r w:rsidR="00224BF2">
      <w:t>Guidelines</w:t>
    </w:r>
    <w:r w:rsidRPr="00F06F1B">
      <w:fldChar w:fldCharType="end"/>
    </w:r>
  </w:p>
  <w:p w14:paraId="009BF8EE" w14:textId="0B65BFCA" w:rsidR="00A73694" w:rsidRPr="00F06F1B" w:rsidRDefault="00A73694" w:rsidP="00F85AFC">
    <w:pPr>
      <w:pStyle w:val="Footersecondline"/>
    </w:pPr>
    <w:r w:rsidRPr="00F06F1B">
      <w:fldChar w:fldCharType="begin"/>
    </w:r>
    <w:r w:rsidRPr="00F06F1B">
      <w:instrText xml:space="preserve"> PAGE   \* MERGEFORMAT </w:instrText>
    </w:r>
    <w:r w:rsidRPr="00F06F1B">
      <w:fldChar w:fldCharType="separate"/>
    </w:r>
    <w:r w:rsidRPr="00F06F1B">
      <w:t>ii</w:t>
    </w:r>
    <w:r w:rsidRPr="00F06F1B">
      <w:fldChar w:fldCharType="end"/>
    </w:r>
    <w:r w:rsidRPr="00F06F1B">
      <w:ptab w:relativeTo="margin" w:alignment="right" w:leader="none"/>
    </w:r>
    <w:r w:rsidRPr="00F06F1B">
      <w:fldChar w:fldCharType="begin"/>
    </w:r>
    <w:r w:rsidRPr="00F06F1B">
      <w:instrText xml:space="preserve"> IF</w:instrText>
    </w:r>
    <w:r w:rsidRPr="00F06F1B">
      <w:fldChar w:fldCharType="begin"/>
    </w:r>
    <w:r w:rsidRPr="00F06F1B">
      <w:instrText xml:space="preserve"> STYLEREF "TOC Heading" </w:instrText>
    </w:r>
    <w:r w:rsidRPr="00F06F1B">
      <w:fldChar w:fldCharType="separate"/>
    </w:r>
    <w:r w:rsidR="00224BF2">
      <w:rPr>
        <w:noProof/>
      </w:rPr>
      <w:instrText>Table of Contents</w:instrText>
    </w:r>
    <w:r w:rsidRPr="00F06F1B">
      <w:fldChar w:fldCharType="end"/>
    </w:r>
    <w:r w:rsidRPr="00F06F1B">
      <w:instrText>&lt;&gt;"Error*""</w:instrText>
    </w:r>
    <w:r w:rsidRPr="00F06F1B">
      <w:fldChar w:fldCharType="begin"/>
    </w:r>
    <w:r w:rsidRPr="00F06F1B">
      <w:instrText xml:space="preserve"> STYLEREF "TOC Heading" </w:instrText>
    </w:r>
    <w:r w:rsidRPr="00F06F1B">
      <w:fldChar w:fldCharType="separate"/>
    </w:r>
    <w:r w:rsidR="00224BF2">
      <w:rPr>
        <w:noProof/>
      </w:rPr>
      <w:instrText>Table of Contents</w:instrText>
    </w:r>
    <w:r w:rsidRPr="00F06F1B">
      <w:fldChar w:fldCharType="end"/>
    </w:r>
    <w:r w:rsidRPr="00F06F1B">
      <w:instrText>"</w:instrText>
    </w:r>
    <w:r w:rsidRPr="00F06F1B">
      <w:fldChar w:fldCharType="separate"/>
    </w:r>
    <w:r w:rsidR="00224BF2">
      <w:rPr>
        <w:noProof/>
      </w:rPr>
      <w:t>Table of Contents</w:t>
    </w:r>
    <w:r w:rsidRPr="00F06F1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5D5C2" w14:textId="6020A490" w:rsidR="00A73694" w:rsidRDefault="00DC75A7" w:rsidP="00F85AFC">
    <w:pPr>
      <w:pStyle w:val="Footer"/>
    </w:pPr>
    <w:r>
      <w:fldChar w:fldCharType="begin"/>
    </w:r>
    <w:r>
      <w:instrText xml:space="preserve"> STYLEREF  "Cover 6 - Doc number"  \* MERGEFORMAT </w:instrText>
    </w:r>
    <w:r>
      <w:fldChar w:fldCharType="end"/>
    </w:r>
  </w:p>
  <w:p w14:paraId="4DB653E9" w14:textId="02697AA9" w:rsidR="00A73694" w:rsidRPr="0056743B" w:rsidRDefault="00F85AFC" w:rsidP="00F85AFC">
    <w:pPr>
      <w:pStyle w:val="Footersecondline"/>
    </w:pPr>
    <w:fldSimple w:instr=" STYLEREF  &quot;Cover 3 - Title&quot;  \* MERGEFORMAT ">
      <w:r w:rsidR="00224BF2">
        <w:rPr>
          <w:noProof/>
        </w:rPr>
        <w:t>2025-26 Regional Health Infrastructure Fund</w:t>
      </w:r>
    </w:fldSimple>
    <w:r w:rsidR="00A73694" w:rsidRPr="0056743B">
      <w:ptab w:relativeTo="margin" w:alignment="right" w:leader="none"/>
    </w:r>
    <w:r w:rsidR="00A73694" w:rsidRPr="0056743B">
      <w:fldChar w:fldCharType="begin"/>
    </w:r>
    <w:r w:rsidR="00A73694" w:rsidRPr="0056743B">
      <w:instrText xml:space="preserve"> PAGE   \* MERGEFORMAT </w:instrText>
    </w:r>
    <w:r w:rsidR="00A73694" w:rsidRPr="0056743B">
      <w:fldChar w:fldCharType="separate"/>
    </w:r>
    <w:r w:rsidR="00A73694">
      <w:t>iii</w:t>
    </w:r>
    <w:r w:rsidR="00A73694" w:rsidRPr="0056743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0D4D" w14:textId="77777777" w:rsidR="00A73694" w:rsidRDefault="00A736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C529E" w14:textId="77777777" w:rsidR="009D0FAD" w:rsidRDefault="00986791" w:rsidP="00F85AFC">
    <w:pPr>
      <w:pStyle w:val="Footer"/>
    </w:pPr>
    <w:r>
      <mc:AlternateContent>
        <mc:Choice Requires="wps">
          <w:drawing>
            <wp:anchor distT="0" distB="0" distL="0" distR="0" simplePos="0" relativeHeight="251658244" behindDoc="0" locked="0" layoutInCell="1" allowOverlap="1" wp14:anchorId="043C5AA9" wp14:editId="1A6EBD98">
              <wp:simplePos x="635" y="635"/>
              <wp:positionH relativeFrom="page">
                <wp:align>center</wp:align>
              </wp:positionH>
              <wp:positionV relativeFrom="page">
                <wp:align>bottom</wp:align>
              </wp:positionV>
              <wp:extent cx="551815" cy="528955"/>
              <wp:effectExtent l="0" t="0" r="6985" b="0"/>
              <wp:wrapNone/>
              <wp:docPr id="70958025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211B4F59" w14:textId="77777777" w:rsidR="009D0FAD" w:rsidRPr="007C5736" w:rsidRDefault="00986791" w:rsidP="00F85AFC">
                          <w:pPr>
                            <w:spacing w:after="0"/>
                            <w:rPr>
                              <w:rFonts w:ascii="Calibri" w:eastAsia="Calibri" w:hAnsi="Calibri" w:cs="Calibri"/>
                              <w:noProof/>
                              <w:color w:val="FF0000"/>
                              <w:sz w:val="24"/>
                              <w:szCs w:val="24"/>
                            </w:rPr>
                          </w:pPr>
                          <w:r w:rsidRPr="007C573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3C5AA9" id="_x0000_t202" coordsize="21600,21600" o:spt="202" path="m,l,21600r21600,l21600,xe">
              <v:stroke joinstyle="miter"/>
              <v:path gradientshapeok="t" o:connecttype="rect"/>
            </v:shapetype>
            <v:shape id="Text Box 9" o:spid="_x0000_s1028" type="#_x0000_t202" alt="OFFICIAL" style="position:absolute;margin-left:0;margin-top:0;width:43.45pt;height:41.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" filled="f" stroked="f">
              <v:textbox style="mso-fit-shape-to-text:t" inset="0,0,0,15pt">
                <w:txbxContent>
                  <w:p w14:paraId="211B4F59" w14:textId="77777777" w:rsidR="009D0FAD" w:rsidRPr="007C5736" w:rsidRDefault="00986791" w:rsidP="00F85AFC">
                    <w:pPr>
                      <w:spacing w:after="0"/>
                      <w:rPr>
                        <w:rFonts w:ascii="Calibri" w:eastAsia="Calibri" w:hAnsi="Calibri" w:cs="Calibri"/>
                        <w:noProof/>
                        <w:color w:val="FF0000"/>
                        <w:sz w:val="24"/>
                        <w:szCs w:val="24"/>
                      </w:rPr>
                    </w:pPr>
                    <w:r w:rsidRPr="007C5736">
                      <w:rPr>
                        <w:rFonts w:ascii="Calibri" w:eastAsia="Calibri" w:hAnsi="Calibri" w:cs="Calibri"/>
                        <w:noProof/>
                        <w:color w:val="FF0000"/>
                        <w:sz w:val="24"/>
                        <w:szCs w:val="24"/>
                      </w:rPr>
                      <w:t>OFFICIAL</w:t>
                    </w:r>
                  </w:p>
                </w:txbxContent>
              </v:textbox>
              <w10:wrap anchorx="page" anchory="page"/>
            </v:shape>
          </w:pict>
        </mc:Fallback>
      </mc:AlternateContent>
    </w:r>
    <w:r>
      <w:ptab w:relativeTo="margin" w:alignment="right" w:leader="none"/>
    </w:r>
    <w:r w:rsidRPr="00F06F1B">
      <w:fldChar w:fldCharType="begin"/>
    </w:r>
    <w:r w:rsidRPr="00F06F1B">
      <w:instrText xml:space="preserve"> IF</w:instrText>
    </w:r>
    <w:r w:rsidRPr="00F06F1B">
      <w:fldChar w:fldCharType="begin"/>
    </w:r>
    <w:r w:rsidRPr="00F06F1B">
      <w:instrText xml:space="preserve"> STYLEREF "</w:instrText>
    </w:r>
    <w:r w:rsidRPr="001C5257">
      <w:instrText>Cover 4 - Subtitle</w:instrText>
    </w:r>
    <w:r w:rsidRPr="00F06F1B">
      <w:instrText xml:space="preserve">" </w:instrText>
    </w:r>
    <w:r w:rsidRPr="00F06F1B">
      <w:fldChar w:fldCharType="separate"/>
    </w:r>
    <w:r w:rsidR="008F61A7">
      <w:instrText>Guidelines</w:instrText>
    </w:r>
    <w:r w:rsidRPr="00F06F1B">
      <w:fldChar w:fldCharType="end"/>
    </w:r>
    <w:r w:rsidRPr="00F06F1B">
      <w:instrText>&lt;&gt;"Error*""</w:instrText>
    </w:r>
    <w:r w:rsidRPr="00F06F1B">
      <w:fldChar w:fldCharType="begin"/>
    </w:r>
    <w:r w:rsidRPr="00F06F1B">
      <w:instrText xml:space="preserve"> STYLEREF "</w:instrText>
    </w:r>
    <w:r w:rsidRPr="001C5257">
      <w:instrText>Cover 4 - Subtitle</w:instrText>
    </w:r>
    <w:r w:rsidRPr="00F06F1B">
      <w:instrText>"</w:instrText>
    </w:r>
    <w:r w:rsidRPr="00F06F1B">
      <w:fldChar w:fldCharType="separate"/>
    </w:r>
    <w:r w:rsidR="008F61A7">
      <w:instrText>Guidelines</w:instrText>
    </w:r>
    <w:r w:rsidRPr="00F06F1B">
      <w:fldChar w:fldCharType="end"/>
    </w:r>
    <w:r w:rsidRPr="00F06F1B">
      <w:instrText>"</w:instrText>
    </w:r>
    <w:r w:rsidRPr="00F06F1B">
      <w:fldChar w:fldCharType="separate"/>
    </w:r>
    <w:r w:rsidR="008F61A7">
      <w:t>Guidelines</w:t>
    </w:r>
    <w:r w:rsidRPr="00F06F1B">
      <w:fldChar w:fldCharType="end"/>
    </w:r>
  </w:p>
  <w:p w14:paraId="58EA5F2C" w14:textId="77777777" w:rsidR="009D0FAD" w:rsidRPr="00F06F1B" w:rsidRDefault="00986791" w:rsidP="00F85AFC">
    <w:pPr>
      <w:pStyle w:val="Footersecondline"/>
    </w:pPr>
    <w:r w:rsidRPr="00F06F1B">
      <w:fldChar w:fldCharType="begin"/>
    </w:r>
    <w:r w:rsidRPr="00F06F1B">
      <w:instrText xml:space="preserve"> PAGE   \* MERGEFORMAT </w:instrText>
    </w:r>
    <w:r w:rsidRPr="00F06F1B">
      <w:fldChar w:fldCharType="separate"/>
    </w:r>
    <w:r w:rsidRPr="00F06F1B">
      <w:t>ii</w:t>
    </w:r>
    <w:r w:rsidRPr="00F06F1B">
      <w:fldChar w:fldCharType="end"/>
    </w:r>
    <w:r w:rsidRPr="00F06F1B">
      <w:ptab w:relativeTo="margin" w:alignment="right" w:leader="none"/>
    </w:r>
    <w:r w:rsidRPr="00F06F1B">
      <w:fldChar w:fldCharType="begin"/>
    </w:r>
    <w:r w:rsidRPr="00F06F1B">
      <w:instrText xml:space="preserve"> IF</w:instrText>
    </w:r>
    <w:r w:rsidRPr="00F06F1B">
      <w:fldChar w:fldCharType="begin"/>
    </w:r>
    <w:r w:rsidRPr="00F06F1B">
      <w:instrText xml:space="preserve"> STYLEREF "Heading</w:instrText>
    </w:r>
    <w:r>
      <w:instrText xml:space="preserve"> 1</w:instrText>
    </w:r>
    <w:r w:rsidRPr="00F06F1B">
      <w:instrText xml:space="preserve">" </w:instrText>
    </w:r>
    <w:r w:rsidRPr="00F06F1B">
      <w:fldChar w:fldCharType="separate"/>
    </w:r>
    <w:r w:rsidR="008F61A7">
      <w:rPr>
        <w:noProof/>
      </w:rPr>
      <w:instrText>RHIF 2025-26 Streams</w:instrText>
    </w:r>
    <w:r w:rsidRPr="00F06F1B">
      <w:fldChar w:fldCharType="end"/>
    </w:r>
    <w:r w:rsidRPr="00F06F1B">
      <w:instrText>&lt;&gt;"Error*""</w:instrText>
    </w:r>
    <w:r w:rsidRPr="00F06F1B">
      <w:fldChar w:fldCharType="begin"/>
    </w:r>
    <w:r w:rsidRPr="00F06F1B">
      <w:instrText xml:space="preserve"> STYLEREF "Heading</w:instrText>
    </w:r>
    <w:r>
      <w:instrText xml:space="preserve"> 1</w:instrText>
    </w:r>
    <w:r w:rsidRPr="00F06F1B">
      <w:instrText xml:space="preserve">" </w:instrText>
    </w:r>
    <w:r w:rsidRPr="00F06F1B">
      <w:fldChar w:fldCharType="separate"/>
    </w:r>
    <w:r w:rsidR="008F61A7">
      <w:rPr>
        <w:noProof/>
      </w:rPr>
      <w:instrText>RHIF 2025-26 Streams</w:instrText>
    </w:r>
    <w:r w:rsidRPr="00F06F1B">
      <w:fldChar w:fldCharType="end"/>
    </w:r>
    <w:r w:rsidRPr="00F06F1B">
      <w:instrText>"</w:instrText>
    </w:r>
    <w:r w:rsidRPr="00F06F1B">
      <w:fldChar w:fldCharType="separate"/>
    </w:r>
    <w:r w:rsidR="008F61A7">
      <w:rPr>
        <w:noProof/>
      </w:rPr>
      <w:t>RHIF 2025-26 Streams</w:t>
    </w:r>
    <w:r w:rsidRPr="00F06F1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A722" w14:textId="77777777" w:rsidR="009D0FAD" w:rsidRPr="0056743B" w:rsidRDefault="00986791" w:rsidP="00F85AFC">
    <w:r>
      <w:rPr>
        <w:noProof/>
      </w:rPr>
      <mc:AlternateContent>
        <mc:Choice Requires="wps">
          <w:drawing>
            <wp:anchor distT="0" distB="0" distL="0" distR="0" simplePos="0" relativeHeight="251658243" behindDoc="0" locked="0" layoutInCell="1" allowOverlap="1" wp14:anchorId="3D5D56B6" wp14:editId="40D44F7F">
              <wp:simplePos x="635" y="635"/>
              <wp:positionH relativeFrom="page">
                <wp:align>center</wp:align>
              </wp:positionH>
              <wp:positionV relativeFrom="page">
                <wp:align>bottom</wp:align>
              </wp:positionV>
              <wp:extent cx="551815" cy="528955"/>
              <wp:effectExtent l="0" t="0" r="6985" b="0"/>
              <wp:wrapNone/>
              <wp:docPr id="77320942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5C1B91FC" w14:textId="77777777" w:rsidR="009D0FAD" w:rsidRPr="007C5736" w:rsidRDefault="00986791" w:rsidP="00F85AFC">
                          <w:pPr>
                            <w:spacing w:after="0"/>
                            <w:rPr>
                              <w:rFonts w:ascii="Calibri" w:eastAsia="Calibri" w:hAnsi="Calibri" w:cs="Calibri"/>
                              <w:noProof/>
                              <w:color w:val="FF0000"/>
                              <w:sz w:val="24"/>
                              <w:szCs w:val="24"/>
                            </w:rPr>
                          </w:pPr>
                          <w:r w:rsidRPr="007C573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5D56B6" id="_x0000_t202" coordsize="21600,21600" o:spt="202" path="m,l,21600r21600,l21600,xe">
              <v:stroke joinstyle="miter"/>
              <v:path gradientshapeok="t" o:connecttype="rect"/>
            </v:shapetype>
            <v:shape id="Text Box 8" o:spid="_x0000_s1030" type="#_x0000_t202" alt="OFFICIAL" style="position:absolute;margin-left:0;margin-top:0;width:43.45pt;height:41.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" filled="f" stroked="f">
              <v:textbox style="mso-fit-shape-to-text:t" inset="0,0,0,15pt">
                <w:txbxContent>
                  <w:p w14:paraId="5C1B91FC" w14:textId="77777777" w:rsidR="009D0FAD" w:rsidRPr="007C5736" w:rsidRDefault="00986791" w:rsidP="00F85AFC">
                    <w:pPr>
                      <w:spacing w:after="0"/>
                      <w:rPr>
                        <w:rFonts w:ascii="Calibri" w:eastAsia="Calibri" w:hAnsi="Calibri" w:cs="Calibri"/>
                        <w:noProof/>
                        <w:color w:val="FF0000"/>
                        <w:sz w:val="24"/>
                        <w:szCs w:val="24"/>
                      </w:rPr>
                    </w:pPr>
                    <w:r w:rsidRPr="007C5736">
                      <w:rPr>
                        <w:rFonts w:ascii="Calibri" w:eastAsia="Calibri" w:hAnsi="Calibri" w:cs="Calibri"/>
                        <w:noProof/>
                        <w:color w:val="FF0000"/>
                        <w:sz w:val="24"/>
                        <w:szCs w:val="24"/>
                      </w:rPr>
                      <w:t>OFFICIAL</w:t>
                    </w:r>
                  </w:p>
                </w:txbxContent>
              </v:textbox>
              <w10:wrap anchorx="page" anchory="page"/>
            </v:shape>
          </w:pict>
        </mc:Fallback>
      </mc:AlternateContent>
    </w:r>
    <w:r w:rsidRPr="0056743B">
      <w:rPr>
        <w:noProof/>
      </w:rPr>
      <mc:AlternateContent>
        <mc:Choice Requires="wps">
          <w:drawing>
            <wp:anchor distT="0" distB="215900" distL="215900" distR="215900" simplePos="0" relativeHeight="251658241" behindDoc="0" locked="1" layoutInCell="1" allowOverlap="1" wp14:anchorId="2BFA8AA3" wp14:editId="45A55E57">
              <wp:simplePos x="0" y="0"/>
              <wp:positionH relativeFrom="column">
                <wp:align>right</wp:align>
              </wp:positionH>
              <wp:positionV relativeFrom="line">
                <wp:align>top</wp:align>
              </wp:positionV>
              <wp:extent cx="792000" cy="601200"/>
              <wp:effectExtent l="0" t="0" r="8255" b="6985"/>
              <wp:wrapSquare wrapText="bothSides"/>
              <wp:docPr id="35" name="Text Box 35"/>
              <wp:cNvGraphicFramePr/>
              <a:graphic xmlns:a="http://schemas.openxmlformats.org/drawingml/2006/main">
                <a:graphicData uri="http://schemas.microsoft.com/office/word/2010/wordprocessingShape">
                  <wps:wsp>
                    <wps:cNvSpPr txBox="1"/>
                    <wps:spPr>
                      <a:xfrm>
                        <a:off x="0" y="0"/>
                        <a:ext cx="792000" cy="601200"/>
                      </a:xfrm>
                      <a:prstGeom prst="rect">
                        <a:avLst/>
                      </a:prstGeom>
                      <a:solidFill>
                        <a:schemeClr val="lt1"/>
                      </a:solidFill>
                      <a:ln w="6350">
                        <a:noFill/>
                      </a:ln>
                    </wps:spPr>
                    <wps:txbx>
                      <w:txbxContent>
                        <w:p w14:paraId="5CAF106B" w14:textId="77777777" w:rsidR="009D0FAD" w:rsidRPr="0056743B" w:rsidRDefault="00986791" w:rsidP="00F85AFC">
                          <w:r w:rsidRPr="0056743B">
                            <w:t xml:space="preserve">Page </w:t>
                          </w:r>
                          <w:r w:rsidRPr="0056743B">
                            <w:fldChar w:fldCharType="begin"/>
                          </w:r>
                          <w:r w:rsidRPr="0056743B">
                            <w:instrText xml:space="preserve"> PAGE   \* MERGEFORMAT </w:instrText>
                          </w:r>
                          <w:r w:rsidRPr="0056743B">
                            <w:fldChar w:fldCharType="separate"/>
                          </w:r>
                          <w:r w:rsidRPr="0056743B">
                            <w:t>i</w:t>
                          </w:r>
                          <w:r w:rsidRPr="0056743B">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BFA8AA3" id="Text Box 35" o:spid="_x0000_s1031" type="#_x0000_t202" style="position:absolute;margin-left:11.15pt;margin-top:0;width:62.35pt;height:47.35pt;z-index:251658241;visibility:visible;mso-wrap-style:square;mso-width-percent:0;mso-height-percent:0;mso-wrap-distance-left:17pt;mso-wrap-distance-top:0;mso-wrap-distance-right:17pt;mso-wrap-distance-bottom:17pt;mso-position-horizontal:right;mso-position-horizontal-relative:text;mso-position-vertical:top;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" fillcolor="white [3201]" stroked="f" strokeweight=".5pt">
              <v:textbox style="mso-fit-shape-to-text:t" inset="0,0,0,0">
                <w:txbxContent>
                  <w:p w14:paraId="5CAF106B" w14:textId="77777777" w:rsidR="009D0FAD" w:rsidRPr="0056743B" w:rsidRDefault="00986791" w:rsidP="00F85AFC">
                    <w:r w:rsidRPr="0056743B">
                      <w:t xml:space="preserve">Page </w:t>
                    </w:r>
                    <w:r w:rsidRPr="0056743B">
                      <w:fldChar w:fldCharType="begin"/>
                    </w:r>
                    <w:r w:rsidRPr="0056743B">
                      <w:instrText xml:space="preserve"> PAGE   \* MERGEFORMAT </w:instrText>
                    </w:r>
                    <w:r w:rsidRPr="0056743B">
                      <w:fldChar w:fldCharType="separate"/>
                    </w:r>
                    <w:r w:rsidRPr="0056743B">
                      <w:t>i</w:t>
                    </w:r>
                    <w:r w:rsidRPr="0056743B">
                      <w:fldChar w:fldCharType="end"/>
                    </w:r>
                  </w:p>
                </w:txbxContent>
              </v:textbox>
              <w10:wrap type="square" anchory="line"/>
              <w10:anchorlock/>
            </v:shape>
          </w:pict>
        </mc:Fallback>
      </mc:AlternateContent>
    </w:r>
    <w:r w:rsidRPr="0056743B">
      <w:fldChar w:fldCharType="begin"/>
    </w:r>
    <w:r w:rsidRPr="0056743B">
      <w:instrText xml:space="preserve"> IF</w:instrText>
    </w:r>
    <w:r>
      <w:fldChar w:fldCharType="begin"/>
    </w:r>
    <w:r>
      <w:instrText xml:space="preserve"> STYLEREF "Cover Subtitle" </w:instrText>
    </w:r>
    <w:r>
      <w:fldChar w:fldCharType="separate"/>
    </w:r>
    <w:r w:rsidR="008F61A7">
      <w:rPr>
        <w:b/>
        <w:bCs/>
        <w:noProof/>
        <w:lang w:val="en-US"/>
      </w:rPr>
      <w:instrText>Error! Use the Home tab to apply Cover Subtitle to the text that you want to appear here.</w:instrText>
    </w:r>
    <w:r>
      <w:rPr>
        <w:noProof/>
      </w:rPr>
      <w:fldChar w:fldCharType="end"/>
    </w:r>
    <w:r w:rsidRPr="0056743B">
      <w:instrText>&lt;&gt;"Error*""</w:instrText>
    </w:r>
    <w:r>
      <w:fldChar w:fldCharType="begin"/>
    </w:r>
    <w:r>
      <w:instrText xml:space="preserve"> STYLEREF "Cover Subtitle" </w:instrText>
    </w:r>
    <w:r>
      <w:fldChar w:fldCharType="separate"/>
    </w:r>
    <w:r>
      <w:rPr>
        <w:noProof/>
      </w:rPr>
      <w:instrText>Cover subtitle</w:instrText>
    </w:r>
    <w:r>
      <w:rPr>
        <w:noProof/>
      </w:rPr>
      <w:fldChar w:fldCharType="end"/>
    </w:r>
    <w:r w:rsidRPr="0056743B">
      <w:instrText>"</w:instrText>
    </w:r>
    <w:r w:rsidRPr="0056743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F57E1" w14:textId="77777777" w:rsidR="00BC42A9" w:rsidRDefault="00BC42A9" w:rsidP="00196F59">
      <w:pPr>
        <w:spacing w:before="0" w:after="0" w:line="240" w:lineRule="auto"/>
      </w:pPr>
      <w:r>
        <w:separator/>
      </w:r>
    </w:p>
  </w:footnote>
  <w:footnote w:type="continuationSeparator" w:id="0">
    <w:p w14:paraId="26FB515E" w14:textId="77777777" w:rsidR="00BC42A9" w:rsidRDefault="00BC42A9" w:rsidP="00196F59">
      <w:pPr>
        <w:spacing w:before="0" w:after="0" w:line="240" w:lineRule="auto"/>
      </w:pPr>
      <w:r>
        <w:continuationSeparator/>
      </w:r>
    </w:p>
  </w:footnote>
  <w:footnote w:id="1">
    <w:p w14:paraId="611E4E1B" w14:textId="77777777" w:rsidR="00CB00FD" w:rsidRPr="00546B76" w:rsidRDefault="00CB00FD" w:rsidP="00CB00FD">
      <w:pPr>
        <w:pStyle w:val="FootnoteText"/>
      </w:pPr>
      <w:r w:rsidRPr="00546B76">
        <w:rPr>
          <w:rStyle w:val="FootnoteReference"/>
        </w:rPr>
        <w:footnoteRef/>
      </w:r>
      <w:r w:rsidRPr="00546B76">
        <w:t xml:space="preserve"> The National Australian Built Environment Rating System (NABERS) is a Commonwealth initiative that measures the environmental performance of Australian buildings. It provides a rating from 1 Star (making a start) to 6 Stars (market leading). More information on NABERS is available at www.nabers.gov.au.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A0C8" w14:textId="77777777" w:rsidR="00A73694" w:rsidRDefault="00A73694">
    <w:pPr>
      <w:pStyle w:val="Header"/>
    </w:pPr>
    <w:r>
      <w:rPr>
        <w:noProof/>
      </w:rPr>
      <mc:AlternateContent>
        <mc:Choice Requires="wps">
          <w:drawing>
            <wp:anchor distT="0" distB="0" distL="0" distR="0" simplePos="0" relativeHeight="251658245" behindDoc="0" locked="0" layoutInCell="1" allowOverlap="1" wp14:anchorId="559AB592" wp14:editId="2B3472E3">
              <wp:simplePos x="635" y="635"/>
              <wp:positionH relativeFrom="page">
                <wp:align>center</wp:align>
              </wp:positionH>
              <wp:positionV relativeFrom="page">
                <wp:align>top</wp:align>
              </wp:positionV>
              <wp:extent cx="551815" cy="528955"/>
              <wp:effectExtent l="0" t="0" r="6985" b="4445"/>
              <wp:wrapNone/>
              <wp:docPr id="11357232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46DB87A1" w14:textId="77777777" w:rsidR="00A73694" w:rsidRPr="007C5736" w:rsidRDefault="00A73694" w:rsidP="00F85AFC">
                          <w:pPr>
                            <w:spacing w:after="0"/>
                            <w:rPr>
                              <w:rFonts w:ascii="Calibri" w:eastAsia="Calibri" w:hAnsi="Calibri" w:cs="Calibri"/>
                              <w:noProof/>
                              <w:color w:val="FF0000"/>
                              <w:sz w:val="24"/>
                              <w:szCs w:val="24"/>
                            </w:rPr>
                          </w:pPr>
                          <w:r w:rsidRPr="007C573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9AB592"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41.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" filled="f" stroked="f">
              <v:textbox style="mso-fit-shape-to-text:t" inset="0,15pt,0,0">
                <w:txbxContent>
                  <w:p w14:paraId="46DB87A1" w14:textId="77777777" w:rsidR="00A73694" w:rsidRPr="007C5736" w:rsidRDefault="00A73694" w:rsidP="00F85AFC">
                    <w:pPr>
                      <w:spacing w:after="0"/>
                      <w:rPr>
                        <w:rFonts w:ascii="Calibri" w:eastAsia="Calibri" w:hAnsi="Calibri" w:cs="Calibri"/>
                        <w:noProof/>
                        <w:color w:val="FF0000"/>
                        <w:sz w:val="24"/>
                        <w:szCs w:val="24"/>
                      </w:rPr>
                    </w:pPr>
                    <w:r w:rsidRPr="007C5736">
                      <w:rPr>
                        <w:rFonts w:ascii="Calibri" w:eastAsia="Calibri" w:hAnsi="Calibri" w:cs="Calibri"/>
                        <w:noProof/>
                        <w:color w:val="FF0000"/>
                        <w:sz w:val="24"/>
                        <w:szCs w:val="24"/>
                      </w:rPr>
                      <w:t>OFFICIAL</w:t>
                    </w:r>
                  </w:p>
                </w:txbxContent>
              </v:textbox>
              <w10:wrap anchorx="page" anchory="page"/>
            </v:shape>
          </w:pict>
        </mc:Fallback>
      </mc:AlternateContent>
    </w:r>
    <w:r w:rsidRPr="00515B43">
      <w:rPr>
        <w:noProof/>
      </w:rPr>
      <w:drawing>
        <wp:inline distT="0" distB="0" distL="0" distR="0" wp14:anchorId="162847EF" wp14:editId="50BB9234">
          <wp:extent cx="747000" cy="216000"/>
          <wp:effectExtent l="0" t="0" r="0" b="0"/>
          <wp:docPr id="1593940212"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940212" name="Graphic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47000" cy="216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7C5D" w14:textId="1F238FDE" w:rsidR="00A73694" w:rsidRDefault="00A73694">
    <w:pPr>
      <w:pStyle w:val="Header"/>
    </w:pPr>
    <w:r>
      <w:ptab w:relativeTo="margin" w:alignment="right" w:leader="none"/>
    </w:r>
    <w:r>
      <w:rPr>
        <w:noProof/>
      </w:rPr>
      <w:drawing>
        <wp:inline distT="0" distB="0" distL="0" distR="0" wp14:anchorId="49A8D6AA" wp14:editId="6D40041B">
          <wp:extent cx="1764000" cy="241200"/>
          <wp:effectExtent l="0" t="0" r="1905" b="635"/>
          <wp:docPr id="104520874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178090"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64000" cy="241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74DA" w14:textId="77777777" w:rsidR="00A73694" w:rsidRDefault="00A73694">
    <w:pPr>
      <w:pStyle w:val="Header"/>
    </w:pPr>
    <w:r>
      <w:rPr>
        <w:noProof/>
      </w:rPr>
      <mc:AlternateContent>
        <mc:Choice Requires="wps">
          <w:drawing>
            <wp:anchor distT="0" distB="0" distL="114300" distR="114300" simplePos="0" relativeHeight="251658247" behindDoc="1" locked="0" layoutInCell="1" allowOverlap="1" wp14:anchorId="337F6618" wp14:editId="397C68F5">
              <wp:simplePos x="0" y="0"/>
              <wp:positionH relativeFrom="column">
                <wp:posOffset>-540808</wp:posOffset>
              </wp:positionH>
              <wp:positionV relativeFrom="page">
                <wp:posOffset>0</wp:posOffset>
              </wp:positionV>
              <wp:extent cx="7559675" cy="10693400"/>
              <wp:effectExtent l="0" t="0" r="0" b="0"/>
              <wp:wrapNone/>
              <wp:docPr id="539772765"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0693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EA86E" id="Rectangle 13" o:spid="_x0000_s1026" alt="&quot;&quot;" style="position:absolute;margin-left:-42.6pt;margin-top:0;width:595.25pt;height:842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" fillcolor="#850024 [3215]" stroked="f" strokeweight="2pt">
              <w10:wrap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4E6F" w14:textId="77777777" w:rsidR="009D0FAD" w:rsidRPr="0056743B" w:rsidRDefault="00986791" w:rsidP="00F85AFC">
    <w:pPr>
      <w:pStyle w:val="Header"/>
    </w:pPr>
    <w:r>
      <w:rPr>
        <w:noProof/>
      </w:rPr>
      <mc:AlternateContent>
        <mc:Choice Requires="wps">
          <w:drawing>
            <wp:anchor distT="0" distB="0" distL="0" distR="0" simplePos="0" relativeHeight="251658242" behindDoc="0" locked="0" layoutInCell="1" allowOverlap="1" wp14:anchorId="256C2C8A" wp14:editId="41F56613">
              <wp:simplePos x="635" y="635"/>
              <wp:positionH relativeFrom="page">
                <wp:align>center</wp:align>
              </wp:positionH>
              <wp:positionV relativeFrom="page">
                <wp:align>top</wp:align>
              </wp:positionV>
              <wp:extent cx="551815" cy="528955"/>
              <wp:effectExtent l="0" t="0" r="6985" b="4445"/>
              <wp:wrapNone/>
              <wp:docPr id="38526079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28955"/>
                      </a:xfrm>
                      <a:prstGeom prst="rect">
                        <a:avLst/>
                      </a:prstGeom>
                      <a:noFill/>
                      <a:ln>
                        <a:noFill/>
                      </a:ln>
                    </wps:spPr>
                    <wps:txbx>
                      <w:txbxContent>
                        <w:p w14:paraId="6E10B0F3" w14:textId="77777777" w:rsidR="009D0FAD" w:rsidRPr="007C5736" w:rsidRDefault="00986791" w:rsidP="00F85AFC">
                          <w:pPr>
                            <w:spacing w:after="0"/>
                            <w:rPr>
                              <w:rFonts w:ascii="Calibri" w:eastAsia="Calibri" w:hAnsi="Calibri" w:cs="Calibri"/>
                              <w:noProof/>
                              <w:color w:val="FF0000"/>
                              <w:sz w:val="24"/>
                              <w:szCs w:val="24"/>
                            </w:rPr>
                          </w:pPr>
                          <w:r w:rsidRPr="007C573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6C2C8A"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41.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" filled="f" stroked="f">
              <v:textbox style="mso-fit-shape-to-text:t" inset="0,15pt,0,0">
                <w:txbxContent>
                  <w:p w14:paraId="6E10B0F3" w14:textId="77777777" w:rsidR="009D0FAD" w:rsidRPr="007C5736" w:rsidRDefault="00986791" w:rsidP="00F85AFC">
                    <w:pPr>
                      <w:spacing w:after="0"/>
                      <w:rPr>
                        <w:rFonts w:ascii="Calibri" w:eastAsia="Calibri" w:hAnsi="Calibri" w:cs="Calibri"/>
                        <w:noProof/>
                        <w:color w:val="FF0000"/>
                        <w:sz w:val="24"/>
                        <w:szCs w:val="24"/>
                      </w:rPr>
                    </w:pPr>
                    <w:r w:rsidRPr="007C5736">
                      <w:rPr>
                        <w:rFonts w:ascii="Calibri" w:eastAsia="Calibri" w:hAnsi="Calibri" w:cs="Calibri"/>
                        <w:noProof/>
                        <w:color w:val="FF0000"/>
                        <w:sz w:val="24"/>
                        <w:szCs w:val="24"/>
                      </w:rPr>
                      <w:t>OFFICIAL</w:t>
                    </w:r>
                  </w:p>
                </w:txbxContent>
              </v:textbox>
              <w10:wrap anchorx="page" anchory="page"/>
            </v:shape>
          </w:pict>
        </mc:Fallback>
      </mc:AlternateContent>
    </w:r>
    <w:r w:rsidRPr="0056743B">
      <w:fldChar w:fldCharType="begin"/>
    </w:r>
    <w:r w:rsidRPr="0056743B">
      <w:instrText xml:space="preserve"> IF</w:instrText>
    </w:r>
    <w:r>
      <w:fldChar w:fldCharType="begin"/>
    </w:r>
    <w:r>
      <w:instrText xml:space="preserve"> STYLEREF "Cover Title" </w:instrText>
    </w:r>
    <w:r>
      <w:fldChar w:fldCharType="separate"/>
    </w:r>
    <w:r w:rsidR="008F61A7">
      <w:rPr>
        <w:b/>
        <w:bCs/>
        <w:noProof/>
        <w:lang w:val="en-US"/>
      </w:rPr>
      <w:instrText>Error! Use the Home tab to apply Cover Title to the text that you want to appear here.</w:instrText>
    </w:r>
    <w:r>
      <w:rPr>
        <w:noProof/>
      </w:rPr>
      <w:fldChar w:fldCharType="end"/>
    </w:r>
    <w:r w:rsidRPr="0056743B">
      <w:instrText>&lt;&gt;"Error*""</w:instrText>
    </w:r>
    <w:r>
      <w:fldChar w:fldCharType="begin"/>
    </w:r>
    <w:r>
      <w:instrText xml:space="preserve"> STYLEREF "Cover Title" </w:instrText>
    </w:r>
    <w:r>
      <w:fldChar w:fldCharType="separate"/>
    </w:r>
    <w:r>
      <w:rPr>
        <w:noProof/>
      </w:rPr>
      <w:instrText>Cover Title</w:instrText>
    </w:r>
    <w:r>
      <w:rPr>
        <w:noProof/>
      </w:rPr>
      <w:fldChar w:fldCharType="end"/>
    </w:r>
    <w:r w:rsidRPr="0056743B">
      <w:instrText>"</w:instrText>
    </w:r>
    <w:r w:rsidRPr="0056743B">
      <w:fldChar w:fldCharType="end"/>
    </w:r>
    <w:r w:rsidRPr="0056743B">
      <w:rPr>
        <w:noProof/>
      </w:rPr>
      <w:drawing>
        <wp:anchor distT="0" distB="215900" distL="215900" distR="215900" simplePos="0" relativeHeight="251658240" behindDoc="0" locked="1" layoutInCell="1" allowOverlap="1" wp14:anchorId="7E59CCBA" wp14:editId="182E1BA1">
          <wp:simplePos x="0" y="0"/>
          <wp:positionH relativeFrom="column">
            <wp:align>right</wp:align>
          </wp:positionH>
          <wp:positionV relativeFrom="topMargin">
            <wp:posOffset>308610</wp:posOffset>
          </wp:positionV>
          <wp:extent cx="936000" cy="615600"/>
          <wp:effectExtent l="0" t="0" r="0" b="0"/>
          <wp:wrapSquare wrapText="bothSides"/>
          <wp:docPr id="538247937" name="Picture 5382479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7937" name="Picture 53824793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36000" cy="61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A72386A"/>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30686C46"/>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7B943B1C"/>
    <w:lvl w:ilvl="0">
      <w:start w:val="1"/>
      <w:numFmt w:val="decimal"/>
      <w:pStyle w:val="ListNumber"/>
      <w:lvlText w:val="%1."/>
      <w:lvlJc w:val="left"/>
      <w:pPr>
        <w:tabs>
          <w:tab w:val="num" w:pos="360"/>
        </w:tabs>
        <w:ind w:left="360" w:hanging="360"/>
      </w:pPr>
    </w:lvl>
  </w:abstractNum>
  <w:abstractNum w:abstractNumId="3" w15:restartNumberingAfterBreak="0">
    <w:nsid w:val="051951E2"/>
    <w:multiLevelType w:val="hybridMultilevel"/>
    <w:tmpl w:val="48C2C2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D7D2843"/>
    <w:multiLevelType w:val="multilevel"/>
    <w:tmpl w:val="02EA2F56"/>
    <w:lvl w:ilvl="0">
      <w:start w:val="1"/>
      <w:numFmt w:val="bullet"/>
      <w:pStyle w:val="TableBullet1"/>
      <w:lvlText w:val=""/>
      <w:lvlJc w:val="left"/>
      <w:pPr>
        <w:ind w:left="340" w:hanging="340"/>
      </w:pPr>
      <w:rPr>
        <w:rFonts w:ascii="Symbol" w:hAnsi="Symbol" w:hint="default"/>
        <w:b w:val="0"/>
        <w:i w:val="0"/>
        <w:color w:val="000000" w:themeColor="text1"/>
        <w:sz w:val="18"/>
      </w:rPr>
    </w:lvl>
    <w:lvl w:ilvl="1">
      <w:start w:val="1"/>
      <w:numFmt w:val="bullet"/>
      <w:pStyle w:val="TableBullet2"/>
      <w:lvlText w:val="–"/>
      <w:lvlJc w:val="left"/>
      <w:pPr>
        <w:ind w:left="680" w:hanging="340"/>
      </w:pPr>
      <w:rPr>
        <w:rFonts w:hint="default"/>
        <w:b w:val="0"/>
        <w:i w:val="0"/>
        <w:color w:val="000000" w:themeColor="text1"/>
        <w:sz w:val="18"/>
      </w:rPr>
    </w:lvl>
    <w:lvl w:ilvl="2">
      <w:start w:val="1"/>
      <w:numFmt w:val="bullet"/>
      <w:pStyle w:val="TableBullet3"/>
      <w:lvlText w:val="-"/>
      <w:lvlJc w:val="left"/>
      <w:pPr>
        <w:ind w:left="1020" w:hanging="340"/>
      </w:pPr>
      <w:rPr>
        <w:rFonts w:hint="default"/>
        <w:b w:val="0"/>
        <w:i w:val="0"/>
        <w:color w:val="000000" w:themeColor="text1"/>
        <w:sz w:val="18"/>
      </w:rPr>
    </w:lvl>
    <w:lvl w:ilvl="3">
      <w:start w:val="1"/>
      <w:numFmt w:val="none"/>
      <w:lvlRestart w:val="0"/>
      <w:suff w:val="nothing"/>
      <w:lvlText w:val="%4"/>
      <w:lvlJc w:val="left"/>
      <w:pPr>
        <w:ind w:left="0" w:firstLine="0"/>
      </w:pPr>
      <w:rPr>
        <w:rFonts w:hint="default"/>
        <w:color w:val="000000" w:themeColor="text1"/>
      </w:rPr>
    </w:lvl>
    <w:lvl w:ilvl="4">
      <w:start w:val="1"/>
      <w:numFmt w:val="none"/>
      <w:lvlRestart w:val="0"/>
      <w:suff w:val="nothing"/>
      <w:lvlText w:val="%5"/>
      <w:lvlJc w:val="left"/>
      <w:pPr>
        <w:ind w:left="0" w:firstLine="0"/>
      </w:pPr>
      <w:rPr>
        <w:rFonts w:hint="default"/>
        <w:color w:val="000000" w:themeColor="text1"/>
      </w:rPr>
    </w:lvl>
    <w:lvl w:ilvl="5">
      <w:start w:val="1"/>
      <w:numFmt w:val="none"/>
      <w:lvlRestart w:val="0"/>
      <w:suff w:val="nothing"/>
      <w:lvlText w:val="%6"/>
      <w:lvlJc w:val="left"/>
      <w:pPr>
        <w:ind w:left="0" w:firstLine="0"/>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5" w15:restartNumberingAfterBreak="0">
    <w:nsid w:val="116A3833"/>
    <w:multiLevelType w:val="multilevel"/>
    <w:tmpl w:val="848C7684"/>
    <w:styleLink w:val="Numbering"/>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46F0A77"/>
    <w:multiLevelType w:val="multilevel"/>
    <w:tmpl w:val="78142128"/>
    <w:lvl w:ilvl="0">
      <w:start w:val="1"/>
      <w:numFmt w:val="bullet"/>
      <w:pStyle w:val="ListBullet"/>
      <w:lvlText w:val=""/>
      <w:lvlJc w:val="left"/>
      <w:pPr>
        <w:ind w:left="340" w:hanging="340"/>
      </w:pPr>
      <w:rPr>
        <w:rFonts w:ascii="Symbol" w:hAnsi="Symbol" w:hint="default"/>
        <w:b w:val="0"/>
        <w:i w:val="0"/>
        <w:color w:val="auto"/>
      </w:rPr>
    </w:lvl>
    <w:lvl w:ilvl="1">
      <w:start w:val="1"/>
      <w:numFmt w:val="bullet"/>
      <w:pStyle w:val="ListBullet2"/>
      <w:lvlText w:val=""/>
      <w:lvlJc w:val="left"/>
      <w:pPr>
        <w:ind w:left="680" w:hanging="340"/>
      </w:pPr>
      <w:rPr>
        <w:rFonts w:ascii="Symbol" w:hAnsi="Symbol" w:hint="default"/>
        <w:b w:val="0"/>
        <w:i w:val="0"/>
        <w:color w:val="auto"/>
      </w:rPr>
    </w:lvl>
    <w:lvl w:ilvl="2">
      <w:start w:val="1"/>
      <w:numFmt w:val="bullet"/>
      <w:pStyle w:val="ListBullet3"/>
      <w:lvlText w:val=""/>
      <w:lvlJc w:val="left"/>
      <w:pPr>
        <w:ind w:left="1021" w:hanging="341"/>
      </w:pPr>
      <w:rPr>
        <w:rFonts w:ascii="Symbol" w:hAnsi="Symbol" w:hint="default"/>
        <w:b w:val="0"/>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5E95B0F"/>
    <w:multiLevelType w:val="hybridMultilevel"/>
    <w:tmpl w:val="565C8936"/>
    <w:lvl w:ilvl="0" w:tplc="C6564668">
      <w:start w:val="1"/>
      <w:numFmt w:val="lowerRoman"/>
      <w:lvlText w:val="%1)"/>
      <w:lvlJc w:val="right"/>
      <w:pPr>
        <w:ind w:left="1080" w:hanging="360"/>
      </w:pPr>
    </w:lvl>
    <w:lvl w:ilvl="1" w:tplc="927C0F7E">
      <w:start w:val="1"/>
      <w:numFmt w:val="lowerLetter"/>
      <w:lvlText w:val="%2."/>
      <w:lvlJc w:val="left"/>
      <w:pPr>
        <w:ind w:left="1800" w:hanging="360"/>
      </w:pPr>
    </w:lvl>
    <w:lvl w:ilvl="2" w:tplc="A0EC2796">
      <w:start w:val="1"/>
      <w:numFmt w:val="lowerRoman"/>
      <w:lvlText w:val="%3."/>
      <w:lvlJc w:val="right"/>
      <w:pPr>
        <w:ind w:left="2520" w:hanging="180"/>
      </w:pPr>
    </w:lvl>
    <w:lvl w:ilvl="3" w:tplc="01F8D284">
      <w:start w:val="1"/>
      <w:numFmt w:val="decimal"/>
      <w:lvlText w:val="%4."/>
      <w:lvlJc w:val="left"/>
      <w:pPr>
        <w:ind w:left="3240" w:hanging="360"/>
      </w:pPr>
    </w:lvl>
    <w:lvl w:ilvl="4" w:tplc="9828C846">
      <w:start w:val="1"/>
      <w:numFmt w:val="lowerLetter"/>
      <w:lvlText w:val="%5."/>
      <w:lvlJc w:val="left"/>
      <w:pPr>
        <w:ind w:left="3960" w:hanging="360"/>
      </w:pPr>
    </w:lvl>
    <w:lvl w:ilvl="5" w:tplc="DF2E68B4">
      <w:start w:val="1"/>
      <w:numFmt w:val="lowerRoman"/>
      <w:lvlText w:val="%6."/>
      <w:lvlJc w:val="right"/>
      <w:pPr>
        <w:ind w:left="4680" w:hanging="180"/>
      </w:pPr>
    </w:lvl>
    <w:lvl w:ilvl="6" w:tplc="4882F7F8">
      <w:start w:val="1"/>
      <w:numFmt w:val="decimal"/>
      <w:lvlText w:val="%7."/>
      <w:lvlJc w:val="left"/>
      <w:pPr>
        <w:ind w:left="5400" w:hanging="360"/>
      </w:pPr>
    </w:lvl>
    <w:lvl w:ilvl="7" w:tplc="A94673AC">
      <w:start w:val="1"/>
      <w:numFmt w:val="lowerLetter"/>
      <w:lvlText w:val="%8."/>
      <w:lvlJc w:val="left"/>
      <w:pPr>
        <w:ind w:left="6120" w:hanging="360"/>
      </w:pPr>
    </w:lvl>
    <w:lvl w:ilvl="8" w:tplc="05B8B9AE">
      <w:start w:val="1"/>
      <w:numFmt w:val="lowerRoman"/>
      <w:lvlText w:val="%9."/>
      <w:lvlJc w:val="right"/>
      <w:pPr>
        <w:ind w:left="6840" w:hanging="180"/>
      </w:pPr>
    </w:lvl>
  </w:abstractNum>
  <w:abstractNum w:abstractNumId="8" w15:restartNumberingAfterBreak="0">
    <w:nsid w:val="164F0C0E"/>
    <w:multiLevelType w:val="hybridMultilevel"/>
    <w:tmpl w:val="30AC92B2"/>
    <w:lvl w:ilvl="0" w:tplc="0C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A4574DF"/>
    <w:multiLevelType w:val="hybridMultilevel"/>
    <w:tmpl w:val="1284CBF0"/>
    <w:lvl w:ilvl="0" w:tplc="9F8EBA2E">
      <w:start w:val="1"/>
      <w:numFmt w:val="bullet"/>
      <w:pStyle w:val="BCVHHSBAbullet1"/>
      <w:lvlText w:val="•"/>
      <w:lvlJc w:val="left"/>
      <w:pPr>
        <w:ind w:left="284" w:hanging="284"/>
      </w:pPr>
      <w:rPr>
        <w:rFonts w:ascii="Calibri" w:hAnsi="Calibri" w:hint="default"/>
      </w:rPr>
    </w:lvl>
    <w:lvl w:ilvl="1" w:tplc="F10ABF62">
      <w:start w:val="1"/>
      <w:numFmt w:val="bullet"/>
      <w:lvlText w:val=""/>
      <w:lvlJc w:val="left"/>
      <w:pPr>
        <w:ind w:left="567" w:hanging="283"/>
      </w:pPr>
      <w:rPr>
        <w:rFonts w:ascii="Symbol" w:hAnsi="Symbol" w:hint="default"/>
      </w:rPr>
    </w:lvl>
    <w:lvl w:ilvl="2" w:tplc="875A19BE">
      <w:start w:val="1"/>
      <w:numFmt w:val="none"/>
      <w:lvlRestart w:val="0"/>
      <w:lvlText w:val=""/>
      <w:lvlJc w:val="left"/>
      <w:pPr>
        <w:ind w:left="0" w:firstLine="0"/>
      </w:pPr>
      <w:rPr>
        <w:rFonts w:hint="default"/>
      </w:rPr>
    </w:lvl>
    <w:lvl w:ilvl="3" w:tplc="ED64D718">
      <w:start w:val="1"/>
      <w:numFmt w:val="bullet"/>
      <w:lvlText w:val=""/>
      <w:lvlJc w:val="left"/>
      <w:pPr>
        <w:ind w:left="0" w:firstLine="0"/>
      </w:pPr>
      <w:rPr>
        <w:rFonts w:ascii="Symbol" w:hAnsi="Symbol" w:hint="default"/>
      </w:rPr>
    </w:lvl>
    <w:lvl w:ilvl="4" w:tplc="4AC4BF5C">
      <w:start w:val="1"/>
      <w:numFmt w:val="none"/>
      <w:lvlRestart w:val="0"/>
      <w:lvlText w:val=""/>
      <w:lvlJc w:val="left"/>
      <w:pPr>
        <w:ind w:left="0" w:firstLine="0"/>
      </w:pPr>
      <w:rPr>
        <w:rFonts w:hint="default"/>
      </w:rPr>
    </w:lvl>
    <w:lvl w:ilvl="5" w:tplc="B82872CA">
      <w:start w:val="1"/>
      <w:numFmt w:val="none"/>
      <w:lvlRestart w:val="0"/>
      <w:lvlText w:val=""/>
      <w:lvlJc w:val="left"/>
      <w:pPr>
        <w:ind w:left="0" w:firstLine="0"/>
      </w:pPr>
      <w:rPr>
        <w:rFonts w:hint="default"/>
      </w:rPr>
    </w:lvl>
    <w:lvl w:ilvl="6" w:tplc="23409FDC">
      <w:start w:val="1"/>
      <w:numFmt w:val="none"/>
      <w:lvlRestart w:val="0"/>
      <w:lvlText w:val=""/>
      <w:lvlJc w:val="left"/>
      <w:pPr>
        <w:ind w:left="0" w:firstLine="0"/>
      </w:pPr>
      <w:rPr>
        <w:rFonts w:hint="default"/>
      </w:rPr>
    </w:lvl>
    <w:lvl w:ilvl="7" w:tplc="494070EE">
      <w:start w:val="1"/>
      <w:numFmt w:val="none"/>
      <w:lvlRestart w:val="0"/>
      <w:lvlText w:val=""/>
      <w:lvlJc w:val="left"/>
      <w:pPr>
        <w:ind w:left="0" w:firstLine="0"/>
      </w:pPr>
      <w:rPr>
        <w:rFonts w:hint="default"/>
      </w:rPr>
    </w:lvl>
    <w:lvl w:ilvl="8" w:tplc="D47065C4">
      <w:start w:val="1"/>
      <w:numFmt w:val="none"/>
      <w:lvlRestart w:val="0"/>
      <w:lvlText w:val=""/>
      <w:lvlJc w:val="left"/>
      <w:pPr>
        <w:ind w:left="0" w:firstLine="0"/>
      </w:pPr>
      <w:rPr>
        <w:rFonts w:hint="default"/>
      </w:rPr>
    </w:lvl>
  </w:abstractNum>
  <w:abstractNum w:abstractNumId="10" w15:restartNumberingAfterBreak="0">
    <w:nsid w:val="1C1B6727"/>
    <w:multiLevelType w:val="hybridMultilevel"/>
    <w:tmpl w:val="41BC2B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3510730"/>
    <w:multiLevelType w:val="hybridMultilevel"/>
    <w:tmpl w:val="D728BC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6E307C2"/>
    <w:multiLevelType w:val="hybridMultilevel"/>
    <w:tmpl w:val="84927966"/>
    <w:lvl w:ilvl="0" w:tplc="08807B4A">
      <w:start w:val="1"/>
      <w:numFmt w:val="bullet"/>
      <w:lvlText w:val=""/>
      <w:lvlJc w:val="left"/>
      <w:pPr>
        <w:ind w:left="360" w:hanging="360"/>
      </w:pPr>
      <w:rPr>
        <w:rFonts w:ascii="Symbol" w:hAnsi="Symbol" w:hint="default"/>
      </w:rPr>
    </w:lvl>
    <w:lvl w:ilvl="1" w:tplc="5824D5AA">
      <w:start w:val="1"/>
      <w:numFmt w:val="bullet"/>
      <w:lvlText w:val="o"/>
      <w:lvlJc w:val="left"/>
      <w:pPr>
        <w:ind w:left="1080" w:hanging="360"/>
      </w:pPr>
      <w:rPr>
        <w:rFonts w:ascii="Courier New" w:hAnsi="Courier New" w:cs="Courier New" w:hint="default"/>
      </w:rPr>
    </w:lvl>
    <w:lvl w:ilvl="2" w:tplc="72C8D744" w:tentative="1">
      <w:start w:val="1"/>
      <w:numFmt w:val="bullet"/>
      <w:lvlText w:val=""/>
      <w:lvlJc w:val="left"/>
      <w:pPr>
        <w:ind w:left="1800" w:hanging="360"/>
      </w:pPr>
      <w:rPr>
        <w:rFonts w:ascii="Wingdings" w:hAnsi="Wingdings" w:hint="default"/>
      </w:rPr>
    </w:lvl>
    <w:lvl w:ilvl="3" w:tplc="E7F441B0" w:tentative="1">
      <w:start w:val="1"/>
      <w:numFmt w:val="bullet"/>
      <w:lvlText w:val=""/>
      <w:lvlJc w:val="left"/>
      <w:pPr>
        <w:ind w:left="2520" w:hanging="360"/>
      </w:pPr>
      <w:rPr>
        <w:rFonts w:ascii="Symbol" w:hAnsi="Symbol" w:hint="default"/>
      </w:rPr>
    </w:lvl>
    <w:lvl w:ilvl="4" w:tplc="75163602" w:tentative="1">
      <w:start w:val="1"/>
      <w:numFmt w:val="bullet"/>
      <w:lvlText w:val="o"/>
      <w:lvlJc w:val="left"/>
      <w:pPr>
        <w:ind w:left="3240" w:hanging="360"/>
      </w:pPr>
      <w:rPr>
        <w:rFonts w:ascii="Courier New" w:hAnsi="Courier New" w:cs="Courier New" w:hint="default"/>
      </w:rPr>
    </w:lvl>
    <w:lvl w:ilvl="5" w:tplc="3FC016EA" w:tentative="1">
      <w:start w:val="1"/>
      <w:numFmt w:val="bullet"/>
      <w:lvlText w:val=""/>
      <w:lvlJc w:val="left"/>
      <w:pPr>
        <w:ind w:left="3960" w:hanging="360"/>
      </w:pPr>
      <w:rPr>
        <w:rFonts w:ascii="Wingdings" w:hAnsi="Wingdings" w:hint="default"/>
      </w:rPr>
    </w:lvl>
    <w:lvl w:ilvl="6" w:tplc="4DB8EC44" w:tentative="1">
      <w:start w:val="1"/>
      <w:numFmt w:val="bullet"/>
      <w:lvlText w:val=""/>
      <w:lvlJc w:val="left"/>
      <w:pPr>
        <w:ind w:left="4680" w:hanging="360"/>
      </w:pPr>
      <w:rPr>
        <w:rFonts w:ascii="Symbol" w:hAnsi="Symbol" w:hint="default"/>
      </w:rPr>
    </w:lvl>
    <w:lvl w:ilvl="7" w:tplc="9E9E81F6" w:tentative="1">
      <w:start w:val="1"/>
      <w:numFmt w:val="bullet"/>
      <w:lvlText w:val="o"/>
      <w:lvlJc w:val="left"/>
      <w:pPr>
        <w:ind w:left="5400" w:hanging="360"/>
      </w:pPr>
      <w:rPr>
        <w:rFonts w:ascii="Courier New" w:hAnsi="Courier New" w:cs="Courier New" w:hint="default"/>
      </w:rPr>
    </w:lvl>
    <w:lvl w:ilvl="8" w:tplc="184EADAA" w:tentative="1">
      <w:start w:val="1"/>
      <w:numFmt w:val="bullet"/>
      <w:lvlText w:val=""/>
      <w:lvlJc w:val="left"/>
      <w:pPr>
        <w:ind w:left="6120" w:hanging="360"/>
      </w:pPr>
      <w:rPr>
        <w:rFonts w:ascii="Wingdings" w:hAnsi="Wingdings" w:hint="default"/>
      </w:rPr>
    </w:lvl>
  </w:abstractNum>
  <w:abstractNum w:abstractNumId="13" w15:restartNumberingAfterBreak="0">
    <w:nsid w:val="289A66CB"/>
    <w:multiLevelType w:val="multilevel"/>
    <w:tmpl w:val="F8240770"/>
    <w:styleLink w:val="VHBANumbersdigitlist"/>
    <w:lvl w:ilvl="0">
      <w:start w:val="1"/>
      <w:numFmt w:val="decimal"/>
      <w:pStyle w:val="VHBAnumberdigit"/>
      <w:lvlText w:val="%1."/>
      <w:lvlJc w:val="left"/>
      <w:pPr>
        <w:ind w:left="397" w:hanging="397"/>
      </w:pPr>
      <w:rPr>
        <w:rFonts w:hint="default"/>
      </w:rPr>
    </w:lvl>
    <w:lvl w:ilvl="1">
      <w:start w:val="1"/>
      <w:numFmt w:val="decimal"/>
      <w:lvlText w:val="%2."/>
      <w:lvlJc w:val="left"/>
      <w:pPr>
        <w:ind w:left="794" w:hanging="397"/>
      </w:pPr>
      <w:rPr>
        <w:rFonts w:hint="default"/>
      </w:rPr>
    </w:lvl>
    <w:lvl w:ilvl="2">
      <w:start w:val="1"/>
      <w:numFmt w:val="bullet"/>
      <w:lvlRestart w:val="0"/>
      <w:pStyle w:val="VHBAbulletafternumbers1"/>
      <w:lvlText w:val="•"/>
      <w:lvlJc w:val="left"/>
      <w:pPr>
        <w:ind w:left="794" w:hanging="397"/>
      </w:pPr>
      <w:rPr>
        <w:rFonts w:ascii="Arial" w:hAnsi="Arial" w:hint="default"/>
        <w:color w:val="000000" w:themeColor="text1"/>
      </w:rPr>
    </w:lvl>
    <w:lvl w:ilvl="3">
      <w:start w:val="1"/>
      <w:numFmt w:val="bullet"/>
      <w:lvlRestart w:val="0"/>
      <w:pStyle w:val="VHBAbulletafternumbers2"/>
      <w:lvlText w:val="–"/>
      <w:lvlJc w:val="left"/>
      <w:pPr>
        <w:ind w:left="1191" w:hanging="397"/>
      </w:pPr>
      <w:rPr>
        <w:rFonts w:ascii="Arial" w:hAnsi="Arial"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29154D73"/>
    <w:multiLevelType w:val="hybridMultilevel"/>
    <w:tmpl w:val="D0EEC8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E9D0654"/>
    <w:multiLevelType w:val="hybridMultilevel"/>
    <w:tmpl w:val="EA08D97E"/>
    <w:lvl w:ilvl="0" w:tplc="450C6CAE">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19D7F4D"/>
    <w:multiLevelType w:val="hybridMultilevel"/>
    <w:tmpl w:val="79C88BF2"/>
    <w:lvl w:ilvl="0" w:tplc="0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3893B4A"/>
    <w:multiLevelType w:val="hybridMultilevel"/>
    <w:tmpl w:val="7B3069FC"/>
    <w:lvl w:ilvl="0" w:tplc="9A5084BA">
      <w:start w:val="1"/>
      <w:numFmt w:val="bullet"/>
      <w:lvlText w:val=""/>
      <w:lvlJc w:val="left"/>
      <w:pPr>
        <w:ind w:left="720" w:hanging="360"/>
      </w:pPr>
      <w:rPr>
        <w:rFonts w:ascii="Symbol" w:hAnsi="Symbol" w:hint="default"/>
      </w:rPr>
    </w:lvl>
    <w:lvl w:ilvl="1" w:tplc="6A7C7820">
      <w:start w:val="1"/>
      <w:numFmt w:val="bullet"/>
      <w:lvlText w:val=""/>
      <w:lvlJc w:val="left"/>
      <w:pPr>
        <w:ind w:left="1440" w:hanging="360"/>
      </w:pPr>
      <w:rPr>
        <w:rFonts w:ascii="Symbol" w:hAnsi="Symbol" w:hint="default"/>
      </w:rPr>
    </w:lvl>
    <w:lvl w:ilvl="2" w:tplc="F8A09712" w:tentative="1">
      <w:start w:val="1"/>
      <w:numFmt w:val="bullet"/>
      <w:lvlText w:val=""/>
      <w:lvlJc w:val="left"/>
      <w:pPr>
        <w:ind w:left="2160" w:hanging="360"/>
      </w:pPr>
      <w:rPr>
        <w:rFonts w:ascii="Wingdings" w:hAnsi="Wingdings" w:hint="default"/>
      </w:rPr>
    </w:lvl>
    <w:lvl w:ilvl="3" w:tplc="141E4A2A" w:tentative="1">
      <w:start w:val="1"/>
      <w:numFmt w:val="bullet"/>
      <w:lvlText w:val=""/>
      <w:lvlJc w:val="left"/>
      <w:pPr>
        <w:ind w:left="2880" w:hanging="360"/>
      </w:pPr>
      <w:rPr>
        <w:rFonts w:ascii="Symbol" w:hAnsi="Symbol" w:hint="default"/>
      </w:rPr>
    </w:lvl>
    <w:lvl w:ilvl="4" w:tplc="A170C6A8" w:tentative="1">
      <w:start w:val="1"/>
      <w:numFmt w:val="bullet"/>
      <w:lvlText w:val="o"/>
      <w:lvlJc w:val="left"/>
      <w:pPr>
        <w:ind w:left="3600" w:hanging="360"/>
      </w:pPr>
      <w:rPr>
        <w:rFonts w:ascii="Courier New" w:hAnsi="Courier New" w:cs="Courier New" w:hint="default"/>
      </w:rPr>
    </w:lvl>
    <w:lvl w:ilvl="5" w:tplc="BE0E946E" w:tentative="1">
      <w:start w:val="1"/>
      <w:numFmt w:val="bullet"/>
      <w:lvlText w:val=""/>
      <w:lvlJc w:val="left"/>
      <w:pPr>
        <w:ind w:left="4320" w:hanging="360"/>
      </w:pPr>
      <w:rPr>
        <w:rFonts w:ascii="Wingdings" w:hAnsi="Wingdings" w:hint="default"/>
      </w:rPr>
    </w:lvl>
    <w:lvl w:ilvl="6" w:tplc="DEA8523A" w:tentative="1">
      <w:start w:val="1"/>
      <w:numFmt w:val="bullet"/>
      <w:lvlText w:val=""/>
      <w:lvlJc w:val="left"/>
      <w:pPr>
        <w:ind w:left="5040" w:hanging="360"/>
      </w:pPr>
      <w:rPr>
        <w:rFonts w:ascii="Symbol" w:hAnsi="Symbol" w:hint="default"/>
      </w:rPr>
    </w:lvl>
    <w:lvl w:ilvl="7" w:tplc="050ABB96" w:tentative="1">
      <w:start w:val="1"/>
      <w:numFmt w:val="bullet"/>
      <w:lvlText w:val="o"/>
      <w:lvlJc w:val="left"/>
      <w:pPr>
        <w:ind w:left="5760" w:hanging="360"/>
      </w:pPr>
      <w:rPr>
        <w:rFonts w:ascii="Courier New" w:hAnsi="Courier New" w:cs="Courier New" w:hint="default"/>
      </w:rPr>
    </w:lvl>
    <w:lvl w:ilvl="8" w:tplc="083EB748" w:tentative="1">
      <w:start w:val="1"/>
      <w:numFmt w:val="bullet"/>
      <w:lvlText w:val=""/>
      <w:lvlJc w:val="left"/>
      <w:pPr>
        <w:ind w:left="6480" w:hanging="360"/>
      </w:pPr>
      <w:rPr>
        <w:rFonts w:ascii="Wingdings" w:hAnsi="Wingdings" w:hint="default"/>
      </w:rPr>
    </w:lvl>
  </w:abstractNum>
  <w:abstractNum w:abstractNumId="18" w15:restartNumberingAfterBreak="0">
    <w:nsid w:val="38623B6C"/>
    <w:multiLevelType w:val="hybridMultilevel"/>
    <w:tmpl w:val="AD2CF46E"/>
    <w:lvl w:ilvl="0" w:tplc="DD209902">
      <w:start w:val="1"/>
      <w:numFmt w:val="bullet"/>
      <w:lvlText w:val=""/>
      <w:lvlJc w:val="left"/>
      <w:pPr>
        <w:ind w:left="360" w:hanging="360"/>
      </w:pPr>
      <w:rPr>
        <w:rFonts w:ascii="Symbol" w:hAnsi="Symbol" w:hint="default"/>
      </w:rPr>
    </w:lvl>
    <w:lvl w:ilvl="1" w:tplc="5B0A081A" w:tentative="1">
      <w:start w:val="1"/>
      <w:numFmt w:val="bullet"/>
      <w:lvlText w:val="o"/>
      <w:lvlJc w:val="left"/>
      <w:pPr>
        <w:ind w:left="1080" w:hanging="360"/>
      </w:pPr>
      <w:rPr>
        <w:rFonts w:ascii="Courier New" w:hAnsi="Courier New" w:cs="Courier New" w:hint="default"/>
      </w:rPr>
    </w:lvl>
    <w:lvl w:ilvl="2" w:tplc="0BF63BF8" w:tentative="1">
      <w:start w:val="1"/>
      <w:numFmt w:val="bullet"/>
      <w:lvlText w:val=""/>
      <w:lvlJc w:val="left"/>
      <w:pPr>
        <w:ind w:left="1800" w:hanging="360"/>
      </w:pPr>
      <w:rPr>
        <w:rFonts w:ascii="Wingdings" w:hAnsi="Wingdings" w:hint="default"/>
      </w:rPr>
    </w:lvl>
    <w:lvl w:ilvl="3" w:tplc="E4D8EFDE" w:tentative="1">
      <w:start w:val="1"/>
      <w:numFmt w:val="bullet"/>
      <w:lvlText w:val=""/>
      <w:lvlJc w:val="left"/>
      <w:pPr>
        <w:ind w:left="2520" w:hanging="360"/>
      </w:pPr>
      <w:rPr>
        <w:rFonts w:ascii="Symbol" w:hAnsi="Symbol" w:hint="default"/>
      </w:rPr>
    </w:lvl>
    <w:lvl w:ilvl="4" w:tplc="A114F1C2" w:tentative="1">
      <w:start w:val="1"/>
      <w:numFmt w:val="bullet"/>
      <w:lvlText w:val="o"/>
      <w:lvlJc w:val="left"/>
      <w:pPr>
        <w:ind w:left="3240" w:hanging="360"/>
      </w:pPr>
      <w:rPr>
        <w:rFonts w:ascii="Courier New" w:hAnsi="Courier New" w:cs="Courier New" w:hint="default"/>
      </w:rPr>
    </w:lvl>
    <w:lvl w:ilvl="5" w:tplc="599C0BBE" w:tentative="1">
      <w:start w:val="1"/>
      <w:numFmt w:val="bullet"/>
      <w:lvlText w:val=""/>
      <w:lvlJc w:val="left"/>
      <w:pPr>
        <w:ind w:left="3960" w:hanging="360"/>
      </w:pPr>
      <w:rPr>
        <w:rFonts w:ascii="Wingdings" w:hAnsi="Wingdings" w:hint="default"/>
      </w:rPr>
    </w:lvl>
    <w:lvl w:ilvl="6" w:tplc="E3B2D72E" w:tentative="1">
      <w:start w:val="1"/>
      <w:numFmt w:val="bullet"/>
      <w:lvlText w:val=""/>
      <w:lvlJc w:val="left"/>
      <w:pPr>
        <w:ind w:left="4680" w:hanging="360"/>
      </w:pPr>
      <w:rPr>
        <w:rFonts w:ascii="Symbol" w:hAnsi="Symbol" w:hint="default"/>
      </w:rPr>
    </w:lvl>
    <w:lvl w:ilvl="7" w:tplc="96FCB30C" w:tentative="1">
      <w:start w:val="1"/>
      <w:numFmt w:val="bullet"/>
      <w:lvlText w:val="o"/>
      <w:lvlJc w:val="left"/>
      <w:pPr>
        <w:ind w:left="5400" w:hanging="360"/>
      </w:pPr>
      <w:rPr>
        <w:rFonts w:ascii="Courier New" w:hAnsi="Courier New" w:cs="Courier New" w:hint="default"/>
      </w:rPr>
    </w:lvl>
    <w:lvl w:ilvl="8" w:tplc="83FCD2F0" w:tentative="1">
      <w:start w:val="1"/>
      <w:numFmt w:val="bullet"/>
      <w:lvlText w:val=""/>
      <w:lvlJc w:val="left"/>
      <w:pPr>
        <w:ind w:left="6120" w:hanging="360"/>
      </w:pPr>
      <w:rPr>
        <w:rFonts w:ascii="Wingdings" w:hAnsi="Wingdings" w:hint="default"/>
      </w:rPr>
    </w:lvl>
  </w:abstractNum>
  <w:abstractNum w:abstractNumId="19" w15:restartNumberingAfterBreak="0">
    <w:nsid w:val="38BE1EE0"/>
    <w:multiLevelType w:val="multilevel"/>
    <w:tmpl w:val="4ACAC00E"/>
    <w:styleLink w:val="VHBABulletList"/>
    <w:lvl w:ilvl="0">
      <w:start w:val="1"/>
      <w:numFmt w:val="bullet"/>
      <w:pStyle w:val="VHBAbullet1"/>
      <w:lvlText w:val="•"/>
      <w:lvlJc w:val="left"/>
      <w:pPr>
        <w:ind w:left="397" w:hanging="397"/>
      </w:pPr>
      <w:rPr>
        <w:rFonts w:ascii="Calibri" w:hAnsi="Calibri" w:hint="default"/>
        <w:color w:val="auto"/>
      </w:rPr>
    </w:lvl>
    <w:lvl w:ilvl="1">
      <w:start w:val="1"/>
      <w:numFmt w:val="bullet"/>
      <w:lvlRestart w:val="0"/>
      <w:pStyle w:val="VHBAbullet2"/>
      <w:lvlText w:val="–"/>
      <w:lvlJc w:val="left"/>
      <w:pPr>
        <w:ind w:left="794" w:hanging="397"/>
      </w:pPr>
      <w:rPr>
        <w:rFonts w:ascii="Arial" w:hAnsi="Aria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3C4303A5"/>
    <w:multiLevelType w:val="hybridMultilevel"/>
    <w:tmpl w:val="EC2C0F22"/>
    <w:styleLink w:val="Numbers"/>
    <w:lvl w:ilvl="0" w:tplc="15187B6E">
      <w:start w:val="1"/>
      <w:numFmt w:val="bullet"/>
      <w:lvlText w:val="•"/>
      <w:lvlJc w:val="left"/>
      <w:pPr>
        <w:ind w:left="284" w:hanging="284"/>
      </w:pPr>
      <w:rPr>
        <w:rFonts w:ascii="Calibri" w:hAnsi="Calibri" w:hint="default"/>
      </w:rPr>
    </w:lvl>
    <w:lvl w:ilvl="1" w:tplc="BE94B138">
      <w:start w:val="1"/>
      <w:numFmt w:val="bullet"/>
      <w:lvlRestart w:val="0"/>
      <w:lvlText w:val="–"/>
      <w:lvlJc w:val="left"/>
      <w:pPr>
        <w:ind w:left="8079" w:hanging="283"/>
      </w:pPr>
      <w:rPr>
        <w:rFonts w:ascii="Calibri" w:hAnsi="Calibri" w:hint="default"/>
      </w:rPr>
    </w:lvl>
    <w:lvl w:ilvl="2" w:tplc="1E96D858">
      <w:start w:val="1"/>
      <w:numFmt w:val="none"/>
      <w:lvlRestart w:val="0"/>
      <w:lvlText w:val=""/>
      <w:lvlJc w:val="left"/>
      <w:pPr>
        <w:ind w:left="0" w:firstLine="0"/>
      </w:pPr>
      <w:rPr>
        <w:rFonts w:hint="default"/>
      </w:rPr>
    </w:lvl>
    <w:lvl w:ilvl="3" w:tplc="5F3E287C">
      <w:start w:val="1"/>
      <w:numFmt w:val="none"/>
      <w:lvlRestart w:val="0"/>
      <w:lvlText w:val=""/>
      <w:lvlJc w:val="left"/>
      <w:pPr>
        <w:ind w:left="0" w:firstLine="0"/>
      </w:pPr>
      <w:rPr>
        <w:rFonts w:hint="default"/>
      </w:rPr>
    </w:lvl>
    <w:lvl w:ilvl="4" w:tplc="7D8013BC">
      <w:start w:val="1"/>
      <w:numFmt w:val="none"/>
      <w:lvlRestart w:val="0"/>
      <w:lvlText w:val=""/>
      <w:lvlJc w:val="left"/>
      <w:pPr>
        <w:ind w:left="0" w:firstLine="0"/>
      </w:pPr>
      <w:rPr>
        <w:rFonts w:hint="default"/>
      </w:rPr>
    </w:lvl>
    <w:lvl w:ilvl="5" w:tplc="72CA1904">
      <w:start w:val="1"/>
      <w:numFmt w:val="none"/>
      <w:lvlRestart w:val="0"/>
      <w:lvlText w:val=""/>
      <w:lvlJc w:val="left"/>
      <w:pPr>
        <w:ind w:left="0" w:firstLine="0"/>
      </w:pPr>
      <w:rPr>
        <w:rFonts w:hint="default"/>
      </w:rPr>
    </w:lvl>
    <w:lvl w:ilvl="6" w:tplc="31B07358">
      <w:start w:val="1"/>
      <w:numFmt w:val="none"/>
      <w:lvlRestart w:val="0"/>
      <w:lvlText w:val=""/>
      <w:lvlJc w:val="left"/>
      <w:pPr>
        <w:ind w:left="0" w:firstLine="0"/>
      </w:pPr>
      <w:rPr>
        <w:rFonts w:hint="default"/>
      </w:rPr>
    </w:lvl>
    <w:lvl w:ilvl="7" w:tplc="82EE7CB0">
      <w:start w:val="1"/>
      <w:numFmt w:val="none"/>
      <w:lvlRestart w:val="0"/>
      <w:lvlText w:val=""/>
      <w:lvlJc w:val="left"/>
      <w:pPr>
        <w:ind w:left="0" w:firstLine="0"/>
      </w:pPr>
      <w:rPr>
        <w:rFonts w:hint="default"/>
      </w:rPr>
    </w:lvl>
    <w:lvl w:ilvl="8" w:tplc="F5CC4DBC">
      <w:start w:val="1"/>
      <w:numFmt w:val="none"/>
      <w:lvlRestart w:val="0"/>
      <w:lvlText w:val=""/>
      <w:lvlJc w:val="left"/>
      <w:pPr>
        <w:ind w:left="0" w:firstLine="0"/>
      </w:pPr>
      <w:rPr>
        <w:rFonts w:hint="default"/>
      </w:rPr>
    </w:lvl>
  </w:abstractNum>
  <w:abstractNum w:abstractNumId="21" w15:restartNumberingAfterBreak="0">
    <w:nsid w:val="3EC54A41"/>
    <w:multiLevelType w:val="multilevel"/>
    <w:tmpl w:val="46940C74"/>
    <w:styleLink w:val="ZZNumberslowerroman"/>
    <w:lvl w:ilvl="0">
      <w:start w:val="1"/>
      <w:numFmt w:val="lowerRoman"/>
      <w:pStyle w:val="VHBAnumberlowerroman"/>
      <w:lvlText w:val="(%1)"/>
      <w:lvlJc w:val="left"/>
      <w:pPr>
        <w:tabs>
          <w:tab w:val="num" w:pos="397"/>
        </w:tabs>
        <w:ind w:left="397" w:hanging="397"/>
      </w:pPr>
      <w:rPr>
        <w:rFonts w:hint="default"/>
      </w:rPr>
    </w:lvl>
    <w:lvl w:ilvl="1">
      <w:start w:val="1"/>
      <w:numFmt w:val="lowerRoman"/>
      <w:pStyle w:val="VHBA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17743B3"/>
    <w:multiLevelType w:val="hybridMultilevel"/>
    <w:tmpl w:val="CC266080"/>
    <w:lvl w:ilvl="0" w:tplc="FFFFFFFF">
      <w:start w:val="1"/>
      <w:numFmt w:val="decimal"/>
      <w:lvlText w:val="%1."/>
      <w:lvlJc w:val="left"/>
      <w:pPr>
        <w:ind w:left="720" w:hanging="360"/>
      </w:pPr>
    </w:lvl>
    <w:lvl w:ilvl="1" w:tplc="2F66C6B2">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EA5FE1"/>
    <w:multiLevelType w:val="hybridMultilevel"/>
    <w:tmpl w:val="F0EC2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7A018B8"/>
    <w:multiLevelType w:val="multilevel"/>
    <w:tmpl w:val="4ACAC00E"/>
    <w:numStyleLink w:val="VHBABulletList"/>
  </w:abstractNum>
  <w:abstractNum w:abstractNumId="25" w15:restartNumberingAfterBreak="0">
    <w:nsid w:val="49CF520C"/>
    <w:multiLevelType w:val="hybridMultilevel"/>
    <w:tmpl w:val="B47804FE"/>
    <w:lvl w:ilvl="0" w:tplc="2F66C6B2">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187F59"/>
    <w:multiLevelType w:val="hybridMultilevel"/>
    <w:tmpl w:val="BA780D8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0FE734C"/>
    <w:multiLevelType w:val="multilevel"/>
    <w:tmpl w:val="F8240770"/>
    <w:numStyleLink w:val="VHBANumbersdigitlist"/>
  </w:abstractNum>
  <w:abstractNum w:abstractNumId="28" w15:restartNumberingAfterBreak="0">
    <w:nsid w:val="52AF51A2"/>
    <w:multiLevelType w:val="hybridMultilevel"/>
    <w:tmpl w:val="08421B84"/>
    <w:lvl w:ilvl="0" w:tplc="7F8ED562">
      <w:start w:val="2022"/>
      <w:numFmt w:val="bullet"/>
      <w:lvlText w:val="-"/>
      <w:lvlJc w:val="left"/>
      <w:pPr>
        <w:ind w:left="720" w:hanging="360"/>
      </w:pPr>
      <w:rPr>
        <w:rFonts w:ascii="Arial" w:eastAsia="Times" w:hAnsi="Arial" w:cs="Arial" w:hint="default"/>
      </w:rPr>
    </w:lvl>
    <w:lvl w:ilvl="1" w:tplc="AA40051C" w:tentative="1">
      <w:start w:val="1"/>
      <w:numFmt w:val="bullet"/>
      <w:lvlText w:val="o"/>
      <w:lvlJc w:val="left"/>
      <w:pPr>
        <w:ind w:left="1440" w:hanging="360"/>
      </w:pPr>
      <w:rPr>
        <w:rFonts w:ascii="Courier New" w:hAnsi="Courier New" w:cs="Courier New" w:hint="default"/>
      </w:rPr>
    </w:lvl>
    <w:lvl w:ilvl="2" w:tplc="82A68C9C" w:tentative="1">
      <w:start w:val="1"/>
      <w:numFmt w:val="bullet"/>
      <w:lvlText w:val=""/>
      <w:lvlJc w:val="left"/>
      <w:pPr>
        <w:ind w:left="2160" w:hanging="360"/>
      </w:pPr>
      <w:rPr>
        <w:rFonts w:ascii="Wingdings" w:hAnsi="Wingdings" w:hint="default"/>
      </w:rPr>
    </w:lvl>
    <w:lvl w:ilvl="3" w:tplc="C60C2E90" w:tentative="1">
      <w:start w:val="1"/>
      <w:numFmt w:val="bullet"/>
      <w:lvlText w:val=""/>
      <w:lvlJc w:val="left"/>
      <w:pPr>
        <w:ind w:left="2880" w:hanging="360"/>
      </w:pPr>
      <w:rPr>
        <w:rFonts w:ascii="Symbol" w:hAnsi="Symbol" w:hint="default"/>
      </w:rPr>
    </w:lvl>
    <w:lvl w:ilvl="4" w:tplc="AD0ADF10" w:tentative="1">
      <w:start w:val="1"/>
      <w:numFmt w:val="bullet"/>
      <w:lvlText w:val="o"/>
      <w:lvlJc w:val="left"/>
      <w:pPr>
        <w:ind w:left="3600" w:hanging="360"/>
      </w:pPr>
      <w:rPr>
        <w:rFonts w:ascii="Courier New" w:hAnsi="Courier New" w:cs="Courier New" w:hint="default"/>
      </w:rPr>
    </w:lvl>
    <w:lvl w:ilvl="5" w:tplc="0BE48E26" w:tentative="1">
      <w:start w:val="1"/>
      <w:numFmt w:val="bullet"/>
      <w:lvlText w:val=""/>
      <w:lvlJc w:val="left"/>
      <w:pPr>
        <w:ind w:left="4320" w:hanging="360"/>
      </w:pPr>
      <w:rPr>
        <w:rFonts w:ascii="Wingdings" w:hAnsi="Wingdings" w:hint="default"/>
      </w:rPr>
    </w:lvl>
    <w:lvl w:ilvl="6" w:tplc="C414A66E" w:tentative="1">
      <w:start w:val="1"/>
      <w:numFmt w:val="bullet"/>
      <w:lvlText w:val=""/>
      <w:lvlJc w:val="left"/>
      <w:pPr>
        <w:ind w:left="5040" w:hanging="360"/>
      </w:pPr>
      <w:rPr>
        <w:rFonts w:ascii="Symbol" w:hAnsi="Symbol" w:hint="default"/>
      </w:rPr>
    </w:lvl>
    <w:lvl w:ilvl="7" w:tplc="37A05052" w:tentative="1">
      <w:start w:val="1"/>
      <w:numFmt w:val="bullet"/>
      <w:lvlText w:val="o"/>
      <w:lvlJc w:val="left"/>
      <w:pPr>
        <w:ind w:left="5760" w:hanging="360"/>
      </w:pPr>
      <w:rPr>
        <w:rFonts w:ascii="Courier New" w:hAnsi="Courier New" w:cs="Courier New" w:hint="default"/>
      </w:rPr>
    </w:lvl>
    <w:lvl w:ilvl="8" w:tplc="BFD0FEE2" w:tentative="1">
      <w:start w:val="1"/>
      <w:numFmt w:val="bullet"/>
      <w:lvlText w:val=""/>
      <w:lvlJc w:val="left"/>
      <w:pPr>
        <w:ind w:left="6480" w:hanging="360"/>
      </w:pPr>
      <w:rPr>
        <w:rFonts w:ascii="Wingdings" w:hAnsi="Wingdings" w:hint="default"/>
      </w:rPr>
    </w:lvl>
  </w:abstractNum>
  <w:abstractNum w:abstractNumId="29" w15:restartNumberingAfterBreak="0">
    <w:nsid w:val="541611C2"/>
    <w:multiLevelType w:val="multilevel"/>
    <w:tmpl w:val="7CFE8E04"/>
    <w:styleLink w:val="ZZTablebullets"/>
    <w:lvl w:ilvl="0">
      <w:start w:val="1"/>
      <w:numFmt w:val="bullet"/>
      <w:lvlText w:val="•"/>
      <w:lvlJc w:val="left"/>
      <w:pPr>
        <w:ind w:left="340" w:hanging="340"/>
      </w:pPr>
      <w:rPr>
        <w:rFonts w:ascii="Calibri" w:hAnsi="Calibri" w:hint="default"/>
      </w:rPr>
    </w:lvl>
    <w:lvl w:ilvl="1">
      <w:start w:val="1"/>
      <w:numFmt w:val="bullet"/>
      <w:lvlRestart w:val="0"/>
      <w:lvlText w:val="–"/>
      <w:lvlJc w:val="left"/>
      <w:pPr>
        <w:ind w:left="794" w:hanging="39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54BA1E5A"/>
    <w:multiLevelType w:val="hybridMultilevel"/>
    <w:tmpl w:val="EC2C0F22"/>
    <w:styleLink w:val="ZZNumbers"/>
    <w:lvl w:ilvl="0" w:tplc="15187B6E">
      <w:start w:val="1"/>
      <w:numFmt w:val="bullet"/>
      <w:lvlText w:val="•"/>
      <w:lvlJc w:val="left"/>
      <w:pPr>
        <w:ind w:left="284" w:hanging="284"/>
      </w:pPr>
      <w:rPr>
        <w:rFonts w:ascii="Calibri" w:hAnsi="Calibri" w:hint="default"/>
      </w:rPr>
    </w:lvl>
    <w:lvl w:ilvl="1" w:tplc="BE94B138">
      <w:start w:val="1"/>
      <w:numFmt w:val="bullet"/>
      <w:lvlRestart w:val="0"/>
      <w:lvlText w:val="–"/>
      <w:lvlJc w:val="left"/>
      <w:pPr>
        <w:ind w:left="8079" w:hanging="283"/>
      </w:pPr>
      <w:rPr>
        <w:rFonts w:ascii="Calibri" w:hAnsi="Calibri" w:hint="default"/>
      </w:rPr>
    </w:lvl>
    <w:lvl w:ilvl="2" w:tplc="1E96D858">
      <w:start w:val="1"/>
      <w:numFmt w:val="none"/>
      <w:lvlRestart w:val="0"/>
      <w:lvlText w:val=""/>
      <w:lvlJc w:val="left"/>
      <w:pPr>
        <w:ind w:left="0" w:firstLine="0"/>
      </w:pPr>
      <w:rPr>
        <w:rFonts w:hint="default"/>
      </w:rPr>
    </w:lvl>
    <w:lvl w:ilvl="3" w:tplc="5F3E287C">
      <w:start w:val="1"/>
      <w:numFmt w:val="none"/>
      <w:lvlRestart w:val="0"/>
      <w:lvlText w:val=""/>
      <w:lvlJc w:val="left"/>
      <w:pPr>
        <w:ind w:left="0" w:firstLine="0"/>
      </w:pPr>
      <w:rPr>
        <w:rFonts w:hint="default"/>
      </w:rPr>
    </w:lvl>
    <w:lvl w:ilvl="4" w:tplc="7D8013BC">
      <w:start w:val="1"/>
      <w:numFmt w:val="none"/>
      <w:lvlRestart w:val="0"/>
      <w:lvlText w:val=""/>
      <w:lvlJc w:val="left"/>
      <w:pPr>
        <w:ind w:left="0" w:firstLine="0"/>
      </w:pPr>
      <w:rPr>
        <w:rFonts w:hint="default"/>
      </w:rPr>
    </w:lvl>
    <w:lvl w:ilvl="5" w:tplc="72CA1904">
      <w:start w:val="1"/>
      <w:numFmt w:val="none"/>
      <w:lvlRestart w:val="0"/>
      <w:lvlText w:val=""/>
      <w:lvlJc w:val="left"/>
      <w:pPr>
        <w:ind w:left="0" w:firstLine="0"/>
      </w:pPr>
      <w:rPr>
        <w:rFonts w:hint="default"/>
      </w:rPr>
    </w:lvl>
    <w:lvl w:ilvl="6" w:tplc="31B07358">
      <w:start w:val="1"/>
      <w:numFmt w:val="none"/>
      <w:lvlRestart w:val="0"/>
      <w:lvlText w:val=""/>
      <w:lvlJc w:val="left"/>
      <w:pPr>
        <w:ind w:left="0" w:firstLine="0"/>
      </w:pPr>
      <w:rPr>
        <w:rFonts w:hint="default"/>
      </w:rPr>
    </w:lvl>
    <w:lvl w:ilvl="7" w:tplc="82EE7CB0">
      <w:start w:val="1"/>
      <w:numFmt w:val="none"/>
      <w:lvlRestart w:val="0"/>
      <w:lvlText w:val=""/>
      <w:lvlJc w:val="left"/>
      <w:pPr>
        <w:ind w:left="0" w:firstLine="0"/>
      </w:pPr>
      <w:rPr>
        <w:rFonts w:hint="default"/>
      </w:rPr>
    </w:lvl>
    <w:lvl w:ilvl="8" w:tplc="F5CC4DBC">
      <w:start w:val="1"/>
      <w:numFmt w:val="none"/>
      <w:lvlRestart w:val="0"/>
      <w:lvlText w:val=""/>
      <w:lvlJc w:val="left"/>
      <w:pPr>
        <w:ind w:left="0" w:firstLine="0"/>
      </w:pPr>
      <w:rPr>
        <w:rFonts w:hint="default"/>
      </w:rPr>
    </w:lvl>
  </w:abstractNum>
  <w:abstractNum w:abstractNumId="31" w15:restartNumberingAfterBreak="0">
    <w:nsid w:val="56B06876"/>
    <w:multiLevelType w:val="hybridMultilevel"/>
    <w:tmpl w:val="88780928"/>
    <w:lvl w:ilvl="0" w:tplc="7E12F1DA">
      <w:start w:val="1"/>
      <w:numFmt w:val="bullet"/>
      <w:lvlText w:val=""/>
      <w:lvlJc w:val="left"/>
      <w:pPr>
        <w:ind w:left="360" w:hanging="360"/>
      </w:pPr>
      <w:rPr>
        <w:rFonts w:ascii="Symbol" w:hAnsi="Symbol" w:hint="default"/>
      </w:rPr>
    </w:lvl>
    <w:lvl w:ilvl="1" w:tplc="BDCE1AE2">
      <w:start w:val="1"/>
      <w:numFmt w:val="bullet"/>
      <w:lvlText w:val="o"/>
      <w:lvlJc w:val="left"/>
      <w:pPr>
        <w:ind w:left="1080" w:hanging="360"/>
      </w:pPr>
      <w:rPr>
        <w:rFonts w:ascii="Courier New" w:hAnsi="Courier New" w:cs="Courier New" w:hint="default"/>
      </w:rPr>
    </w:lvl>
    <w:lvl w:ilvl="2" w:tplc="9E989504" w:tentative="1">
      <w:start w:val="1"/>
      <w:numFmt w:val="bullet"/>
      <w:lvlText w:val=""/>
      <w:lvlJc w:val="left"/>
      <w:pPr>
        <w:ind w:left="1800" w:hanging="360"/>
      </w:pPr>
      <w:rPr>
        <w:rFonts w:ascii="Wingdings" w:hAnsi="Wingdings" w:hint="default"/>
      </w:rPr>
    </w:lvl>
    <w:lvl w:ilvl="3" w:tplc="553E9E5A" w:tentative="1">
      <w:start w:val="1"/>
      <w:numFmt w:val="bullet"/>
      <w:lvlText w:val=""/>
      <w:lvlJc w:val="left"/>
      <w:pPr>
        <w:ind w:left="2520" w:hanging="360"/>
      </w:pPr>
      <w:rPr>
        <w:rFonts w:ascii="Symbol" w:hAnsi="Symbol" w:hint="default"/>
      </w:rPr>
    </w:lvl>
    <w:lvl w:ilvl="4" w:tplc="51E2A132" w:tentative="1">
      <w:start w:val="1"/>
      <w:numFmt w:val="bullet"/>
      <w:lvlText w:val="o"/>
      <w:lvlJc w:val="left"/>
      <w:pPr>
        <w:ind w:left="3240" w:hanging="360"/>
      </w:pPr>
      <w:rPr>
        <w:rFonts w:ascii="Courier New" w:hAnsi="Courier New" w:cs="Courier New" w:hint="default"/>
      </w:rPr>
    </w:lvl>
    <w:lvl w:ilvl="5" w:tplc="77DE0820" w:tentative="1">
      <w:start w:val="1"/>
      <w:numFmt w:val="bullet"/>
      <w:lvlText w:val=""/>
      <w:lvlJc w:val="left"/>
      <w:pPr>
        <w:ind w:left="3960" w:hanging="360"/>
      </w:pPr>
      <w:rPr>
        <w:rFonts w:ascii="Wingdings" w:hAnsi="Wingdings" w:hint="default"/>
      </w:rPr>
    </w:lvl>
    <w:lvl w:ilvl="6" w:tplc="1514FC2E" w:tentative="1">
      <w:start w:val="1"/>
      <w:numFmt w:val="bullet"/>
      <w:lvlText w:val=""/>
      <w:lvlJc w:val="left"/>
      <w:pPr>
        <w:ind w:left="4680" w:hanging="360"/>
      </w:pPr>
      <w:rPr>
        <w:rFonts w:ascii="Symbol" w:hAnsi="Symbol" w:hint="default"/>
      </w:rPr>
    </w:lvl>
    <w:lvl w:ilvl="7" w:tplc="20BAE016" w:tentative="1">
      <w:start w:val="1"/>
      <w:numFmt w:val="bullet"/>
      <w:lvlText w:val="o"/>
      <w:lvlJc w:val="left"/>
      <w:pPr>
        <w:ind w:left="5400" w:hanging="360"/>
      </w:pPr>
      <w:rPr>
        <w:rFonts w:ascii="Courier New" w:hAnsi="Courier New" w:cs="Courier New" w:hint="default"/>
      </w:rPr>
    </w:lvl>
    <w:lvl w:ilvl="8" w:tplc="5EF0701E" w:tentative="1">
      <w:start w:val="1"/>
      <w:numFmt w:val="bullet"/>
      <w:lvlText w:val=""/>
      <w:lvlJc w:val="left"/>
      <w:pPr>
        <w:ind w:left="6120" w:hanging="360"/>
      </w:pPr>
      <w:rPr>
        <w:rFonts w:ascii="Wingdings" w:hAnsi="Wingdings" w:hint="default"/>
      </w:rPr>
    </w:lvl>
  </w:abstractNum>
  <w:abstractNum w:abstractNumId="32" w15:restartNumberingAfterBreak="0">
    <w:nsid w:val="5BB205BE"/>
    <w:multiLevelType w:val="multilevel"/>
    <w:tmpl w:val="A0F212C0"/>
    <w:lvl w:ilvl="0">
      <w:start w:val="1"/>
      <w:numFmt w:val="decimal"/>
      <w:pStyle w:val="TableNumbering1"/>
      <w:lvlText w:val="%1"/>
      <w:lvlJc w:val="left"/>
      <w:pPr>
        <w:ind w:left="340" w:hanging="340"/>
      </w:pPr>
      <w:rPr>
        <w:rFonts w:asciiTheme="minorHAnsi" w:hAnsiTheme="minorHAnsi" w:hint="default"/>
      </w:rPr>
    </w:lvl>
    <w:lvl w:ilvl="1">
      <w:start w:val="1"/>
      <w:numFmt w:val="lowerLetter"/>
      <w:pStyle w:val="TableNumbering2"/>
      <w:lvlText w:val="%2"/>
      <w:lvlJc w:val="left"/>
      <w:pPr>
        <w:ind w:left="680" w:hanging="340"/>
      </w:pPr>
      <w:rPr>
        <w:rFonts w:asciiTheme="minorHAnsi" w:hAnsiTheme="minorHAnsi" w:hint="default"/>
      </w:rPr>
    </w:lvl>
    <w:lvl w:ilvl="2">
      <w:start w:val="1"/>
      <w:numFmt w:val="lowerRoman"/>
      <w:pStyle w:val="TableNumbering3"/>
      <w:lvlText w:val="%3"/>
      <w:lvlJc w:val="left"/>
      <w:pPr>
        <w:ind w:left="1021" w:hanging="341"/>
      </w:pPr>
      <w:rPr>
        <w:rFonts w:asciiTheme="minorHAnsi" w:hAnsiTheme="minorHAns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0E20DBC"/>
    <w:multiLevelType w:val="hybridMultilevel"/>
    <w:tmpl w:val="1ED66288"/>
    <w:lvl w:ilvl="0" w:tplc="450C6CAE">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80F5132"/>
    <w:multiLevelType w:val="multilevel"/>
    <w:tmpl w:val="7CFE8E04"/>
    <w:styleLink w:val="ListHeadings1"/>
    <w:lvl w:ilvl="0">
      <w:start w:val="1"/>
      <w:numFmt w:val="bullet"/>
      <w:pStyle w:val="VHBAtablebullet1"/>
      <w:lvlText w:val="•"/>
      <w:lvlJc w:val="left"/>
      <w:pPr>
        <w:ind w:left="340" w:hanging="340"/>
      </w:pPr>
      <w:rPr>
        <w:rFonts w:ascii="Calibri" w:hAnsi="Calibri" w:hint="default"/>
      </w:rPr>
    </w:lvl>
    <w:lvl w:ilvl="1">
      <w:start w:val="1"/>
      <w:numFmt w:val="bullet"/>
      <w:lvlRestart w:val="0"/>
      <w:pStyle w:val="VHBAtablebullet2"/>
      <w:lvlText w:val="–"/>
      <w:lvlJc w:val="left"/>
      <w:pPr>
        <w:ind w:left="794" w:hanging="39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6825256B"/>
    <w:multiLevelType w:val="hybridMultilevel"/>
    <w:tmpl w:val="7B7CE5C8"/>
    <w:lvl w:ilvl="0" w:tplc="FFFFFFFF">
      <w:start w:val="1"/>
      <w:numFmt w:val="decimal"/>
      <w:lvlText w:val="%1."/>
      <w:lvlJc w:val="left"/>
      <w:pPr>
        <w:ind w:left="360" w:hanging="360"/>
      </w:pPr>
      <w:rPr>
        <w:rFonts w:hint="default"/>
      </w:rPr>
    </w:lvl>
    <w:lvl w:ilvl="1" w:tplc="450C6CAE">
      <w:start w:val="1"/>
      <w:numFmt w:val="lowerRoman"/>
      <w:lvlText w:val="%2)"/>
      <w:lvlJc w:val="righ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94B3042"/>
    <w:multiLevelType w:val="multilevel"/>
    <w:tmpl w:val="1D2A417E"/>
    <w:lvl w:ilvl="0">
      <w:start w:val="1"/>
      <w:numFmt w:val="none"/>
      <w:pStyle w:val="TableText"/>
      <w:suff w:val="nothing"/>
      <w:lvlText w:val=""/>
      <w:lvlJc w:val="left"/>
      <w:pPr>
        <w:ind w:left="0" w:firstLine="0"/>
      </w:pPr>
      <w:rPr>
        <w:rFonts w:hint="default"/>
      </w:rPr>
    </w:lvl>
    <w:lvl w:ilvl="1">
      <w:start w:val="1"/>
      <w:numFmt w:val="decimal"/>
      <w:lvlText w:val="%2"/>
      <w:lvlJc w:val="left"/>
      <w:pPr>
        <w:ind w:left="340" w:hanging="340"/>
      </w:pPr>
      <w:rPr>
        <w:rFonts w:hint="default"/>
        <w:color w:val="B5C1B8" w:themeColor="accent1"/>
      </w:rPr>
    </w:lvl>
    <w:lvl w:ilvl="2">
      <w:start w:val="1"/>
      <w:numFmt w:val="lowerLetter"/>
      <w:lvlText w:val="%3"/>
      <w:lvlJc w:val="left"/>
      <w:pPr>
        <w:ind w:left="680" w:hanging="340"/>
      </w:pPr>
      <w:rPr>
        <w:rFonts w:hint="default"/>
        <w:color w:val="B5C1B8" w:themeColor="accent1"/>
      </w:rPr>
    </w:lvl>
    <w:lvl w:ilvl="3">
      <w:start w:val="1"/>
      <w:numFmt w:val="lowerRoman"/>
      <w:lvlText w:val="%4"/>
      <w:lvlJc w:val="left"/>
      <w:pPr>
        <w:ind w:left="1021" w:hanging="341"/>
      </w:pPr>
      <w:rPr>
        <w:rFonts w:hint="default"/>
        <w:color w:val="B5C1B8" w:themeColor="accent1"/>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7" w15:restartNumberingAfterBreak="0">
    <w:nsid w:val="6E0221E3"/>
    <w:multiLevelType w:val="hybridMultilevel"/>
    <w:tmpl w:val="95EE40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F76620F"/>
    <w:multiLevelType w:val="multilevel"/>
    <w:tmpl w:val="40D6DBA0"/>
    <w:lvl w:ilvl="0">
      <w:start w:val="1"/>
      <w:numFmt w:val="upperLetter"/>
      <w:pStyle w:val="Heading7"/>
      <w:lvlText w:val="Appendix %1"/>
      <w:lvlJc w:val="left"/>
      <w:pPr>
        <w:ind w:left="2552" w:hanging="2552"/>
      </w:pPr>
      <w:rPr>
        <w:rFonts w:asciiTheme="majorHAnsi" w:hAnsiTheme="majorHAnsi" w:hint="default"/>
        <w:b/>
        <w:i w:val="0"/>
        <w:color w:val="850024" w:themeColor="text2"/>
        <w:sz w:val="40"/>
        <w:szCs w:val="36"/>
      </w:rPr>
    </w:lvl>
    <w:lvl w:ilvl="1">
      <w:start w:val="1"/>
      <w:numFmt w:val="decimal"/>
      <w:pStyle w:val="Heading8"/>
      <w:lvlText w:val="%1.%2"/>
      <w:lvlJc w:val="left"/>
      <w:pPr>
        <w:ind w:left="1418" w:hanging="1418"/>
      </w:pPr>
      <w:rPr>
        <w:rFonts w:asciiTheme="majorHAnsi" w:hAnsiTheme="majorHAnsi" w:hint="default"/>
        <w:b/>
        <w:i w:val="0"/>
        <w:color w:val="5C7181" w:themeColor="accent6"/>
        <w:sz w:val="36"/>
        <w:szCs w:val="32"/>
      </w:rPr>
    </w:lvl>
    <w:lvl w:ilvl="2">
      <w:start w:val="1"/>
      <w:numFmt w:val="decimal"/>
      <w:pStyle w:val="Heading9"/>
      <w:lvlText w:val="%1.%2.%3"/>
      <w:lvlJc w:val="left"/>
      <w:pPr>
        <w:ind w:left="1418" w:hanging="1418"/>
      </w:pPr>
      <w:rPr>
        <w:rFonts w:asciiTheme="majorHAnsi" w:hAnsiTheme="majorHAnsi" w:hint="default"/>
        <w:b/>
        <w:i w:val="0"/>
        <w:color w:val="000000" w:themeColor="text1"/>
        <w:sz w:val="32"/>
        <w:szCs w:val="28"/>
      </w:rPr>
    </w:lvl>
    <w:lvl w:ilvl="3">
      <w:start w:val="1"/>
      <w:numFmt w:val="none"/>
      <w:suff w:val="nothing"/>
      <w:lvlText w:val=""/>
      <w:lvlJc w:val="left"/>
      <w:pPr>
        <w:ind w:left="0" w:firstLine="0"/>
      </w:pPr>
      <w:rPr>
        <w:rFonts w:hint="default"/>
        <w:color w:val="850024" w:themeColor="text2"/>
      </w:rPr>
    </w:lvl>
    <w:lvl w:ilvl="4">
      <w:start w:val="1"/>
      <w:numFmt w:val="none"/>
      <w:suff w:val="nothing"/>
      <w:lvlText w:val=""/>
      <w:lvlJc w:val="left"/>
      <w:pPr>
        <w:ind w:left="0" w:firstLine="0"/>
      </w:pPr>
      <w:rPr>
        <w:rFonts w:hint="default"/>
        <w:color w:val="850024" w:themeColor="text2"/>
      </w:rPr>
    </w:lvl>
    <w:lvl w:ilvl="5">
      <w:start w:val="1"/>
      <w:numFmt w:val="none"/>
      <w:suff w:val="nothing"/>
      <w:lvlText w:val=""/>
      <w:lvlJc w:val="left"/>
      <w:pPr>
        <w:ind w:left="-32767" w:firstLine="0"/>
      </w:pPr>
      <w:rPr>
        <w:rFonts w:hint="default"/>
        <w:color w:val="850024" w:themeColor="text2"/>
      </w:rPr>
    </w:lvl>
    <w:lvl w:ilvl="6">
      <w:start w:val="1"/>
      <w:numFmt w:val="none"/>
      <w:suff w:val="nothing"/>
      <w:lvlText w:val=""/>
      <w:lvlJc w:val="left"/>
      <w:pPr>
        <w:ind w:left="-32767" w:firstLine="0"/>
      </w:pPr>
      <w:rPr>
        <w:rFonts w:hint="default"/>
        <w:b w:val="0"/>
        <w:i w:val="0"/>
        <w:color w:val="B5C1B8" w:themeColor="accent1"/>
        <w:sz w:val="22"/>
      </w:rPr>
    </w:lvl>
    <w:lvl w:ilvl="7">
      <w:start w:val="1"/>
      <w:numFmt w:val="none"/>
      <w:suff w:val="nothing"/>
      <w:lvlText w:val=""/>
      <w:lvlJc w:val="left"/>
      <w:pPr>
        <w:ind w:left="-32767" w:firstLine="0"/>
      </w:pPr>
      <w:rPr>
        <w:rFonts w:hint="default"/>
        <w:b w:val="0"/>
        <w:i w:val="0"/>
        <w:color w:val="B5C1B8" w:themeColor="accent1"/>
        <w:sz w:val="22"/>
      </w:rPr>
    </w:lvl>
    <w:lvl w:ilvl="8">
      <w:start w:val="1"/>
      <w:numFmt w:val="none"/>
      <w:suff w:val="nothing"/>
      <w:lvlText w:val=""/>
      <w:lvlJc w:val="left"/>
      <w:pPr>
        <w:ind w:left="-32767" w:firstLine="0"/>
      </w:pPr>
      <w:rPr>
        <w:rFonts w:hint="default"/>
        <w:b w:val="0"/>
        <w:i w:val="0"/>
        <w:color w:val="B5C1B8" w:themeColor="accent1"/>
        <w:sz w:val="22"/>
      </w:rPr>
    </w:lvl>
  </w:abstractNum>
  <w:abstractNum w:abstractNumId="39" w15:restartNumberingAfterBreak="0">
    <w:nsid w:val="6FF67ADD"/>
    <w:multiLevelType w:val="multilevel"/>
    <w:tmpl w:val="C4044648"/>
    <w:lvl w:ilvl="0">
      <w:start w:val="1"/>
      <w:numFmt w:val="bullet"/>
      <w:pStyle w:val="BodyBullet1"/>
      <w:lvlText w:val=""/>
      <w:lvlJc w:val="left"/>
      <w:pPr>
        <w:ind w:left="340" w:hanging="340"/>
      </w:pPr>
      <w:rPr>
        <w:rFonts w:ascii="Symbol" w:hAnsi="Symbol" w:hint="default"/>
        <w:b w:val="0"/>
        <w:i w:val="0"/>
        <w:color w:val="000000" w:themeColor="text1"/>
        <w:sz w:val="22"/>
      </w:rPr>
    </w:lvl>
    <w:lvl w:ilvl="1">
      <w:start w:val="1"/>
      <w:numFmt w:val="bullet"/>
      <w:pStyle w:val="BodyBullet2"/>
      <w:lvlText w:val="–"/>
      <w:lvlJc w:val="left"/>
      <w:pPr>
        <w:ind w:left="680" w:hanging="340"/>
      </w:pPr>
      <w:rPr>
        <w:rFonts w:hint="default"/>
        <w:b w:val="0"/>
        <w:i w:val="0"/>
        <w:color w:val="000000" w:themeColor="text1"/>
        <w:sz w:val="22"/>
      </w:rPr>
    </w:lvl>
    <w:lvl w:ilvl="2">
      <w:start w:val="1"/>
      <w:numFmt w:val="bullet"/>
      <w:pStyle w:val="BodyBullet3"/>
      <w:lvlText w:val="-"/>
      <w:lvlJc w:val="left"/>
      <w:pPr>
        <w:ind w:left="1020" w:hanging="340"/>
      </w:pPr>
      <w:rPr>
        <w:rFonts w:hint="default"/>
        <w:b w:val="0"/>
        <w:i w:val="0"/>
        <w:color w:val="000000" w:themeColor="text1"/>
        <w:sz w:val="22"/>
        <w:szCs w:val="28"/>
      </w:rPr>
    </w:lvl>
    <w:lvl w:ilvl="3">
      <w:start w:val="1"/>
      <w:numFmt w:val="none"/>
      <w:lvlRestart w:val="0"/>
      <w:suff w:val="nothing"/>
      <w:lvlText w:val=""/>
      <w:lvlJc w:val="left"/>
      <w:pPr>
        <w:ind w:left="0" w:firstLine="0"/>
      </w:pPr>
      <w:rPr>
        <w:rFonts w:hint="default"/>
        <w:color w:val="000000" w:themeColor="text1"/>
      </w:rPr>
    </w:lvl>
    <w:lvl w:ilvl="4">
      <w:start w:val="1"/>
      <w:numFmt w:val="none"/>
      <w:lvlRestart w:val="0"/>
      <w:suff w:val="nothing"/>
      <w:lvlText w:val=""/>
      <w:lvlJc w:val="left"/>
      <w:pPr>
        <w:ind w:left="0" w:firstLine="0"/>
      </w:pPr>
      <w:rPr>
        <w:rFonts w:hint="default"/>
        <w:color w:val="000000" w:themeColor="text1"/>
      </w:rPr>
    </w:lvl>
    <w:lvl w:ilvl="5">
      <w:start w:val="1"/>
      <w:numFmt w:val="none"/>
      <w:lvlRestart w:val="0"/>
      <w:suff w:val="nothing"/>
      <w:lvlText w:val=""/>
      <w:lvlJc w:val="left"/>
      <w:pPr>
        <w:ind w:left="0" w:firstLine="0"/>
      </w:pPr>
      <w:rPr>
        <w:rFonts w:hint="default"/>
        <w:color w:val="000000" w:themeColor="text1"/>
      </w:rPr>
    </w:lvl>
    <w:lvl w:ilvl="6">
      <w:start w:val="1"/>
      <w:numFmt w:val="none"/>
      <w:suff w:val="nothing"/>
      <w:lvlText w:val=""/>
      <w:lvlJc w:val="left"/>
      <w:pPr>
        <w:ind w:left="0" w:firstLine="0"/>
      </w:pPr>
      <w:rPr>
        <w:rFonts w:hint="default"/>
        <w:color w:val="B5C1B8" w:themeColor="accent1"/>
      </w:rPr>
    </w:lvl>
    <w:lvl w:ilvl="7">
      <w:start w:val="1"/>
      <w:numFmt w:val="none"/>
      <w:suff w:val="nothing"/>
      <w:lvlText w:val="%1"/>
      <w:lvlJc w:val="left"/>
      <w:pPr>
        <w:ind w:left="0" w:firstLine="0"/>
      </w:pPr>
      <w:rPr>
        <w:rFonts w:hint="default"/>
      </w:rPr>
    </w:lvl>
    <w:lvl w:ilvl="8">
      <w:start w:val="1"/>
      <w:numFmt w:val="none"/>
      <w:suff w:val="nothing"/>
      <w:lvlText w:val="%1"/>
      <w:lvlJc w:val="left"/>
      <w:pPr>
        <w:ind w:left="0" w:firstLine="0"/>
      </w:pPr>
      <w:rPr>
        <w:rFonts w:hint="default"/>
      </w:rPr>
    </w:lvl>
  </w:abstractNum>
  <w:abstractNum w:abstractNumId="40" w15:restartNumberingAfterBreak="0">
    <w:nsid w:val="75CF5E10"/>
    <w:multiLevelType w:val="multilevel"/>
    <w:tmpl w:val="5CAEEE64"/>
    <w:lvl w:ilvl="0">
      <w:start w:val="1"/>
      <w:numFmt w:val="decimal"/>
      <w:pStyle w:val="Heading1"/>
      <w:lvlText w:val="%1"/>
      <w:lvlJc w:val="left"/>
      <w:pPr>
        <w:ind w:left="1021" w:hanging="1021"/>
      </w:pPr>
      <w:rPr>
        <w:rFonts w:asciiTheme="majorHAnsi" w:hAnsiTheme="majorHAnsi" w:hint="default"/>
        <w:color w:val="850024" w:themeColor="text2"/>
      </w:rPr>
    </w:lvl>
    <w:lvl w:ilvl="1">
      <w:start w:val="1"/>
      <w:numFmt w:val="decimal"/>
      <w:pStyle w:val="Heading2"/>
      <w:lvlText w:val="%1.%2"/>
      <w:lvlJc w:val="left"/>
      <w:pPr>
        <w:ind w:left="1305" w:hanging="1021"/>
      </w:pPr>
      <w:rPr>
        <w:rFonts w:asciiTheme="majorHAnsi" w:hAnsiTheme="majorHAnsi" w:hint="default"/>
        <w:color w:val="5C7181" w:themeColor="accent6"/>
      </w:rPr>
    </w:lvl>
    <w:lvl w:ilvl="2">
      <w:start w:val="1"/>
      <w:numFmt w:val="decimal"/>
      <w:pStyle w:val="Heading3"/>
      <w:lvlText w:val="%1.%2.%3"/>
      <w:lvlJc w:val="left"/>
      <w:pPr>
        <w:ind w:left="1588" w:hanging="1588"/>
      </w:pPr>
      <w:rPr>
        <w:rFonts w:asciiTheme="majorHAnsi" w:hAnsiTheme="majorHAnsi" w:hint="default"/>
        <w:color w:val="auto"/>
      </w:rPr>
    </w:lvl>
    <w:lvl w:ilvl="3">
      <w:start w:val="1"/>
      <w:numFmt w:val="decimal"/>
      <w:pStyle w:val="Heading4"/>
      <w:lvlText w:val="%1.%2.%3.%4"/>
      <w:lvlJc w:val="left"/>
      <w:pPr>
        <w:ind w:left="1588" w:hanging="1588"/>
      </w:pPr>
      <w:rPr>
        <w:rFonts w:asciiTheme="majorHAnsi" w:hAnsiTheme="majorHAnsi" w:hint="default"/>
        <w:color w:val="auto"/>
      </w:rPr>
    </w:lvl>
    <w:lvl w:ilvl="4">
      <w:start w:val="1"/>
      <w:numFmt w:val="none"/>
      <w:pStyle w:val="Heading5"/>
      <w:suff w:val="nothing"/>
      <w:lvlText w:val=""/>
      <w:lvlJc w:val="left"/>
      <w:pPr>
        <w:ind w:left="0" w:firstLine="0"/>
      </w:pPr>
      <w:rPr>
        <w:rFonts w:asciiTheme="majorHAnsi" w:hAnsiTheme="majorHAnsi" w:hint="default"/>
        <w:color w:val="850024" w:themeColor="text2"/>
      </w:rPr>
    </w:lvl>
    <w:lvl w:ilvl="5">
      <w:start w:val="1"/>
      <w:numFmt w:val="none"/>
      <w:pStyle w:val="Heading6"/>
      <w:suff w:val="nothing"/>
      <w:lvlText w:val=""/>
      <w:lvlJc w:val="left"/>
      <w:pPr>
        <w:ind w:left="0" w:firstLine="0"/>
      </w:pPr>
      <w:rPr>
        <w:rFonts w:asciiTheme="majorHAnsi" w:hAnsiTheme="majorHAnsi" w:hint="default"/>
        <w:color w:val="850024" w:themeColor="text2"/>
      </w:rPr>
    </w:lvl>
    <w:lvl w:ilvl="6">
      <w:start w:val="1"/>
      <w:numFmt w:val="decimal"/>
      <w:pStyle w:val="BodyNumbering1"/>
      <w:lvlText w:val="%7"/>
      <w:lvlJc w:val="left"/>
      <w:pPr>
        <w:ind w:left="340" w:hanging="340"/>
      </w:pPr>
      <w:rPr>
        <w:rFonts w:asciiTheme="minorHAnsi" w:hAnsiTheme="minorHAnsi" w:hint="default"/>
        <w:color w:val="850024" w:themeColor="text2"/>
      </w:rPr>
    </w:lvl>
    <w:lvl w:ilvl="7">
      <w:start w:val="1"/>
      <w:numFmt w:val="lowerLetter"/>
      <w:pStyle w:val="BodyNumbering2"/>
      <w:lvlText w:val="%8"/>
      <w:lvlJc w:val="left"/>
      <w:pPr>
        <w:ind w:left="680" w:hanging="340"/>
      </w:pPr>
      <w:rPr>
        <w:rFonts w:asciiTheme="minorHAnsi" w:hAnsiTheme="minorHAnsi" w:hint="default"/>
        <w:color w:val="850024" w:themeColor="text2"/>
      </w:rPr>
    </w:lvl>
    <w:lvl w:ilvl="8">
      <w:start w:val="1"/>
      <w:numFmt w:val="lowerRoman"/>
      <w:pStyle w:val="BodyNumbering3"/>
      <w:lvlText w:val="%9"/>
      <w:lvlJc w:val="left"/>
      <w:pPr>
        <w:ind w:left="1021" w:hanging="341"/>
      </w:pPr>
      <w:rPr>
        <w:rFonts w:hint="default"/>
        <w:color w:val="850024" w:themeColor="text2"/>
      </w:rPr>
    </w:lvl>
  </w:abstractNum>
  <w:abstractNum w:abstractNumId="41" w15:restartNumberingAfterBreak="0">
    <w:nsid w:val="76E34375"/>
    <w:multiLevelType w:val="hybridMultilevel"/>
    <w:tmpl w:val="53FEBC94"/>
    <w:lvl w:ilvl="0" w:tplc="450C6CAE">
      <w:start w:val="1"/>
      <w:numFmt w:val="lowerRoman"/>
      <w:lvlText w:val="%1)"/>
      <w:lvlJc w:val="right"/>
      <w:pPr>
        <w:ind w:left="144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7C192684"/>
    <w:multiLevelType w:val="hybridMultilevel"/>
    <w:tmpl w:val="69EC00DE"/>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7729067">
    <w:abstractNumId w:val="39"/>
  </w:num>
  <w:num w:numId="2" w16cid:durableId="1832914833">
    <w:abstractNumId w:val="36"/>
  </w:num>
  <w:num w:numId="3" w16cid:durableId="1789621358">
    <w:abstractNumId w:val="38"/>
  </w:num>
  <w:num w:numId="4" w16cid:durableId="1106265753">
    <w:abstractNumId w:val="38"/>
  </w:num>
  <w:num w:numId="5" w16cid:durableId="2070882675">
    <w:abstractNumId w:val="6"/>
  </w:num>
  <w:num w:numId="6" w16cid:durableId="1401171519">
    <w:abstractNumId w:val="2"/>
  </w:num>
  <w:num w:numId="7" w16cid:durableId="1051929677">
    <w:abstractNumId w:val="1"/>
  </w:num>
  <w:num w:numId="8" w16cid:durableId="1809282370">
    <w:abstractNumId w:val="0"/>
  </w:num>
  <w:num w:numId="9" w16cid:durableId="1356728783">
    <w:abstractNumId w:val="4"/>
  </w:num>
  <w:num w:numId="10" w16cid:durableId="1040788034">
    <w:abstractNumId w:val="36"/>
  </w:num>
  <w:num w:numId="11" w16cid:durableId="141046996">
    <w:abstractNumId w:val="32"/>
  </w:num>
  <w:num w:numId="12" w16cid:durableId="16928784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7090507">
    <w:abstractNumId w:val="31"/>
  </w:num>
  <w:num w:numId="14" w16cid:durableId="1527911136">
    <w:abstractNumId w:val="30"/>
  </w:num>
  <w:num w:numId="15" w16cid:durableId="1982928619">
    <w:abstractNumId w:val="29"/>
  </w:num>
  <w:num w:numId="16" w16cid:durableId="1543246378">
    <w:abstractNumId w:val="3"/>
  </w:num>
  <w:num w:numId="17" w16cid:durableId="1431854514">
    <w:abstractNumId w:val="19"/>
  </w:num>
  <w:num w:numId="18" w16cid:durableId="1644459015">
    <w:abstractNumId w:val="24"/>
  </w:num>
  <w:num w:numId="19" w16cid:durableId="810288766">
    <w:abstractNumId w:val="5"/>
  </w:num>
  <w:num w:numId="20" w16cid:durableId="1249999991">
    <w:abstractNumId w:val="9"/>
    <w:lvlOverride w:ilvl="0">
      <w:lvl w:ilvl="0" w:tplc="9F8EBA2E">
        <w:start w:val="1"/>
        <w:numFmt w:val="bullet"/>
        <w:pStyle w:val="BCVHHSBAbullet1"/>
        <w:lvlText w:val="•"/>
        <w:lvlJc w:val="left"/>
        <w:pPr>
          <w:ind w:left="284" w:hanging="284"/>
        </w:pPr>
        <w:rPr>
          <w:rFonts w:ascii="Arial" w:hAnsi="Arial" w:cs="Arial" w:hint="default"/>
        </w:rPr>
      </w:lvl>
    </w:lvlOverride>
    <w:lvlOverride w:ilvl="1">
      <w:lvl w:ilvl="1" w:tplc="F10ABF62">
        <w:start w:val="1"/>
        <w:numFmt w:val="bullet"/>
        <w:lvlText w:val=""/>
        <w:lvlJc w:val="left"/>
        <w:pPr>
          <w:ind w:left="567" w:hanging="283"/>
        </w:pPr>
        <w:rPr>
          <w:rFonts w:ascii="Symbol" w:hAnsi="Symbol" w:hint="default"/>
        </w:rPr>
      </w:lvl>
    </w:lvlOverride>
    <w:lvlOverride w:ilvl="2">
      <w:lvl w:ilvl="2" w:tplc="875A19BE">
        <w:start w:val="1"/>
        <w:numFmt w:val="none"/>
        <w:lvlRestart w:val="0"/>
        <w:lvlText w:val=""/>
        <w:lvlJc w:val="left"/>
        <w:pPr>
          <w:ind w:left="0" w:firstLine="0"/>
        </w:pPr>
        <w:rPr>
          <w:rFonts w:hint="default"/>
        </w:rPr>
      </w:lvl>
    </w:lvlOverride>
    <w:lvlOverride w:ilvl="3">
      <w:lvl w:ilvl="3" w:tplc="ED64D718">
        <w:start w:val="1"/>
        <w:numFmt w:val="bullet"/>
        <w:lvlText w:val=""/>
        <w:lvlJc w:val="left"/>
        <w:pPr>
          <w:ind w:left="0" w:firstLine="0"/>
        </w:pPr>
        <w:rPr>
          <w:rFonts w:ascii="Symbol" w:hAnsi="Symbol" w:hint="default"/>
        </w:rPr>
      </w:lvl>
    </w:lvlOverride>
    <w:lvlOverride w:ilvl="4">
      <w:lvl w:ilvl="4" w:tplc="4AC4BF5C">
        <w:start w:val="1"/>
        <w:numFmt w:val="none"/>
        <w:lvlRestart w:val="0"/>
        <w:lvlText w:val=""/>
        <w:lvlJc w:val="left"/>
        <w:pPr>
          <w:ind w:left="0" w:firstLine="0"/>
        </w:pPr>
        <w:rPr>
          <w:rFonts w:hint="default"/>
        </w:rPr>
      </w:lvl>
    </w:lvlOverride>
    <w:lvlOverride w:ilvl="5">
      <w:lvl w:ilvl="5" w:tplc="B82872CA">
        <w:start w:val="1"/>
        <w:numFmt w:val="none"/>
        <w:lvlRestart w:val="0"/>
        <w:lvlText w:val=""/>
        <w:lvlJc w:val="left"/>
        <w:pPr>
          <w:ind w:left="0" w:firstLine="0"/>
        </w:pPr>
        <w:rPr>
          <w:rFonts w:hint="default"/>
        </w:rPr>
      </w:lvl>
    </w:lvlOverride>
    <w:lvlOverride w:ilvl="6">
      <w:lvl w:ilvl="6" w:tplc="23409FDC">
        <w:start w:val="1"/>
        <w:numFmt w:val="none"/>
        <w:lvlRestart w:val="0"/>
        <w:lvlText w:val=""/>
        <w:lvlJc w:val="left"/>
        <w:pPr>
          <w:ind w:left="0" w:firstLine="0"/>
        </w:pPr>
        <w:rPr>
          <w:rFonts w:hint="default"/>
        </w:rPr>
      </w:lvl>
    </w:lvlOverride>
    <w:lvlOverride w:ilvl="7">
      <w:lvl w:ilvl="7" w:tplc="494070EE">
        <w:start w:val="1"/>
        <w:numFmt w:val="none"/>
        <w:lvlRestart w:val="0"/>
        <w:lvlText w:val=""/>
        <w:lvlJc w:val="left"/>
        <w:pPr>
          <w:ind w:left="0" w:firstLine="0"/>
        </w:pPr>
        <w:rPr>
          <w:rFonts w:hint="default"/>
        </w:rPr>
      </w:lvl>
    </w:lvlOverride>
    <w:lvlOverride w:ilvl="8">
      <w:lvl w:ilvl="8" w:tplc="D47065C4">
        <w:start w:val="1"/>
        <w:numFmt w:val="none"/>
        <w:lvlRestart w:val="0"/>
        <w:lvlText w:val=""/>
        <w:lvlJc w:val="left"/>
        <w:pPr>
          <w:ind w:left="0" w:firstLine="0"/>
        </w:pPr>
        <w:rPr>
          <w:rFonts w:hint="default"/>
        </w:rPr>
      </w:lvl>
    </w:lvlOverride>
  </w:num>
  <w:num w:numId="21" w16cid:durableId="442649634">
    <w:abstractNumId w:val="9"/>
  </w:num>
  <w:num w:numId="22" w16cid:durableId="1625968107">
    <w:abstractNumId w:val="37"/>
  </w:num>
  <w:num w:numId="23" w16cid:durableId="1028719954">
    <w:abstractNumId w:val="7"/>
  </w:num>
  <w:num w:numId="24" w16cid:durableId="596331669">
    <w:abstractNumId w:val="13"/>
  </w:num>
  <w:num w:numId="25" w16cid:durableId="1876695943">
    <w:abstractNumId w:val="27"/>
  </w:num>
  <w:num w:numId="26" w16cid:durableId="1162820776">
    <w:abstractNumId w:val="20"/>
  </w:num>
  <w:num w:numId="27" w16cid:durableId="1037970319">
    <w:abstractNumId w:val="20"/>
    <w:lvlOverride w:ilvl="0">
      <w:lvl w:ilvl="0" w:tplc="15187B6E">
        <w:start w:val="1"/>
        <w:numFmt w:val="bullet"/>
        <w:lvlText w:val="•"/>
        <w:lvlJc w:val="left"/>
        <w:pPr>
          <w:ind w:left="284" w:hanging="284"/>
        </w:pPr>
        <w:rPr>
          <w:rFonts w:ascii="Calibri" w:hAnsi="Calibri" w:hint="default"/>
        </w:rPr>
      </w:lvl>
    </w:lvlOverride>
    <w:lvlOverride w:ilvl="1">
      <w:lvl w:ilvl="1" w:tplc="BE94B138">
        <w:start w:val="1"/>
        <w:numFmt w:val="bullet"/>
        <w:lvlRestart w:val="0"/>
        <w:lvlText w:val="–"/>
        <w:lvlJc w:val="left"/>
        <w:pPr>
          <w:ind w:left="8079" w:hanging="283"/>
        </w:pPr>
        <w:rPr>
          <w:rFonts w:ascii="Calibri" w:hAnsi="Calibri" w:hint="default"/>
        </w:rPr>
      </w:lvl>
    </w:lvlOverride>
    <w:lvlOverride w:ilvl="2">
      <w:lvl w:ilvl="2" w:tplc="1E96D858">
        <w:start w:val="1"/>
        <w:numFmt w:val="none"/>
        <w:lvlRestart w:val="0"/>
        <w:lvlText w:val=""/>
        <w:lvlJc w:val="left"/>
        <w:pPr>
          <w:ind w:left="0" w:firstLine="0"/>
        </w:pPr>
        <w:rPr>
          <w:rFonts w:hint="default"/>
        </w:rPr>
      </w:lvl>
    </w:lvlOverride>
    <w:lvlOverride w:ilvl="3">
      <w:lvl w:ilvl="3" w:tplc="5F3E287C">
        <w:start w:val="1"/>
        <w:numFmt w:val="none"/>
        <w:lvlRestart w:val="0"/>
        <w:lvlText w:val=""/>
        <w:lvlJc w:val="left"/>
        <w:pPr>
          <w:ind w:left="0" w:firstLine="0"/>
        </w:pPr>
        <w:rPr>
          <w:rFonts w:hint="default"/>
        </w:rPr>
      </w:lvl>
    </w:lvlOverride>
    <w:lvlOverride w:ilvl="4">
      <w:lvl w:ilvl="4" w:tplc="7D8013BC">
        <w:start w:val="1"/>
        <w:numFmt w:val="none"/>
        <w:lvlRestart w:val="0"/>
        <w:lvlText w:val=""/>
        <w:lvlJc w:val="left"/>
        <w:pPr>
          <w:ind w:left="0" w:firstLine="0"/>
        </w:pPr>
        <w:rPr>
          <w:rFonts w:hint="default"/>
        </w:rPr>
      </w:lvl>
    </w:lvlOverride>
    <w:lvlOverride w:ilvl="5">
      <w:lvl w:ilvl="5" w:tplc="72CA1904">
        <w:start w:val="1"/>
        <w:numFmt w:val="none"/>
        <w:lvlRestart w:val="0"/>
        <w:lvlText w:val=""/>
        <w:lvlJc w:val="left"/>
        <w:pPr>
          <w:ind w:left="0" w:firstLine="0"/>
        </w:pPr>
        <w:rPr>
          <w:rFonts w:hint="default"/>
        </w:rPr>
      </w:lvl>
    </w:lvlOverride>
    <w:lvlOverride w:ilvl="6">
      <w:lvl w:ilvl="6" w:tplc="31B07358">
        <w:start w:val="1"/>
        <w:numFmt w:val="none"/>
        <w:lvlRestart w:val="0"/>
        <w:lvlText w:val=""/>
        <w:lvlJc w:val="left"/>
        <w:pPr>
          <w:ind w:left="0" w:firstLine="0"/>
        </w:pPr>
        <w:rPr>
          <w:rFonts w:hint="default"/>
        </w:rPr>
      </w:lvl>
    </w:lvlOverride>
    <w:lvlOverride w:ilvl="7">
      <w:lvl w:ilvl="7" w:tplc="82EE7CB0">
        <w:start w:val="1"/>
        <w:numFmt w:val="none"/>
        <w:lvlRestart w:val="0"/>
        <w:lvlText w:val=""/>
        <w:lvlJc w:val="left"/>
        <w:pPr>
          <w:ind w:left="0" w:firstLine="0"/>
        </w:pPr>
        <w:rPr>
          <w:rFonts w:hint="default"/>
        </w:rPr>
      </w:lvl>
    </w:lvlOverride>
    <w:lvlOverride w:ilvl="8">
      <w:lvl w:ilvl="8" w:tplc="F5CC4DBC">
        <w:start w:val="1"/>
        <w:numFmt w:val="none"/>
        <w:lvlRestart w:val="0"/>
        <w:lvlText w:val=""/>
        <w:lvlJc w:val="left"/>
        <w:pPr>
          <w:ind w:left="0" w:firstLine="0"/>
        </w:pPr>
        <w:rPr>
          <w:rFonts w:hint="default"/>
        </w:rPr>
      </w:lvl>
    </w:lvlOverride>
  </w:num>
  <w:num w:numId="28" w16cid:durableId="19986803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3827243">
    <w:abstractNumId w:val="12"/>
  </w:num>
  <w:num w:numId="30" w16cid:durableId="681516802">
    <w:abstractNumId w:val="28"/>
  </w:num>
  <w:num w:numId="31" w16cid:durableId="1704861407">
    <w:abstractNumId w:val="17"/>
  </w:num>
  <w:num w:numId="32" w16cid:durableId="757797712">
    <w:abstractNumId w:val="10"/>
  </w:num>
  <w:num w:numId="33" w16cid:durableId="1234008894">
    <w:abstractNumId w:val="23"/>
  </w:num>
  <w:num w:numId="34" w16cid:durableId="1399939229">
    <w:abstractNumId w:val="11"/>
  </w:num>
  <w:num w:numId="35" w16cid:durableId="691807742">
    <w:abstractNumId w:val="8"/>
  </w:num>
  <w:num w:numId="36" w16cid:durableId="1105734706">
    <w:abstractNumId w:val="42"/>
  </w:num>
  <w:num w:numId="37" w16cid:durableId="955796333">
    <w:abstractNumId w:val="26"/>
  </w:num>
  <w:num w:numId="38" w16cid:durableId="1586918670">
    <w:abstractNumId w:val="22"/>
  </w:num>
  <w:num w:numId="39" w16cid:durableId="1709724893">
    <w:abstractNumId w:val="25"/>
  </w:num>
  <w:num w:numId="40" w16cid:durableId="765267836">
    <w:abstractNumId w:val="35"/>
  </w:num>
  <w:num w:numId="41" w16cid:durableId="1021662485">
    <w:abstractNumId w:val="33"/>
  </w:num>
  <w:num w:numId="42" w16cid:durableId="258215950">
    <w:abstractNumId w:val="15"/>
  </w:num>
  <w:num w:numId="43" w16cid:durableId="2099984492">
    <w:abstractNumId w:val="16"/>
  </w:num>
  <w:num w:numId="44" w16cid:durableId="1188527043">
    <w:abstractNumId w:val="14"/>
  </w:num>
  <w:num w:numId="45" w16cid:durableId="755126717">
    <w:abstractNumId w:val="41"/>
  </w:num>
  <w:num w:numId="46" w16cid:durableId="1547991415">
    <w:abstractNumId w:val="38"/>
  </w:num>
  <w:num w:numId="47" w16cid:durableId="106198639">
    <w:abstractNumId w:val="21"/>
  </w:num>
  <w:num w:numId="48" w16cid:durableId="976374048">
    <w:abstractNumId w:val="34"/>
  </w:num>
  <w:num w:numId="49" w16cid:durableId="669983874">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1A7"/>
    <w:rsid w:val="00022C60"/>
    <w:rsid w:val="00053DCF"/>
    <w:rsid w:val="00056600"/>
    <w:rsid w:val="00061C47"/>
    <w:rsid w:val="00093547"/>
    <w:rsid w:val="000C5A97"/>
    <w:rsid w:val="0012590A"/>
    <w:rsid w:val="00130D03"/>
    <w:rsid w:val="0013485F"/>
    <w:rsid w:val="001419C2"/>
    <w:rsid w:val="001425E2"/>
    <w:rsid w:val="00146EDE"/>
    <w:rsid w:val="00155FB3"/>
    <w:rsid w:val="00160C78"/>
    <w:rsid w:val="0017073E"/>
    <w:rsid w:val="00173FA0"/>
    <w:rsid w:val="00174C9D"/>
    <w:rsid w:val="0017666F"/>
    <w:rsid w:val="00181383"/>
    <w:rsid w:val="00196F59"/>
    <w:rsid w:val="001A52A0"/>
    <w:rsid w:val="001C01F1"/>
    <w:rsid w:val="00224BF2"/>
    <w:rsid w:val="00246284"/>
    <w:rsid w:val="002857A9"/>
    <w:rsid w:val="002A122F"/>
    <w:rsid w:val="002F57FA"/>
    <w:rsid w:val="00344CC0"/>
    <w:rsid w:val="00357876"/>
    <w:rsid w:val="00390789"/>
    <w:rsid w:val="0041679B"/>
    <w:rsid w:val="00426676"/>
    <w:rsid w:val="004277DF"/>
    <w:rsid w:val="00441491"/>
    <w:rsid w:val="00480D10"/>
    <w:rsid w:val="004C2B2C"/>
    <w:rsid w:val="004E0644"/>
    <w:rsid w:val="004E3628"/>
    <w:rsid w:val="005267B6"/>
    <w:rsid w:val="005462CC"/>
    <w:rsid w:val="005B3785"/>
    <w:rsid w:val="005B7DF4"/>
    <w:rsid w:val="005D2CDC"/>
    <w:rsid w:val="00620ABD"/>
    <w:rsid w:val="00624FEC"/>
    <w:rsid w:val="00664D7E"/>
    <w:rsid w:val="00665C04"/>
    <w:rsid w:val="00676914"/>
    <w:rsid w:val="00677281"/>
    <w:rsid w:val="006918FA"/>
    <w:rsid w:val="00697D5B"/>
    <w:rsid w:val="007010F5"/>
    <w:rsid w:val="007247E1"/>
    <w:rsid w:val="00744D09"/>
    <w:rsid w:val="00797D12"/>
    <w:rsid w:val="007B0F63"/>
    <w:rsid w:val="007E0A3A"/>
    <w:rsid w:val="007E4435"/>
    <w:rsid w:val="00860043"/>
    <w:rsid w:val="00860281"/>
    <w:rsid w:val="0086034B"/>
    <w:rsid w:val="008918F8"/>
    <w:rsid w:val="008C1225"/>
    <w:rsid w:val="008F61A7"/>
    <w:rsid w:val="00956957"/>
    <w:rsid w:val="00974F17"/>
    <w:rsid w:val="00986791"/>
    <w:rsid w:val="0098778F"/>
    <w:rsid w:val="009918A8"/>
    <w:rsid w:val="009B4395"/>
    <w:rsid w:val="009C2476"/>
    <w:rsid w:val="009D0FAD"/>
    <w:rsid w:val="009E245F"/>
    <w:rsid w:val="00A03159"/>
    <w:rsid w:val="00A13967"/>
    <w:rsid w:val="00A4261D"/>
    <w:rsid w:val="00A64477"/>
    <w:rsid w:val="00A65933"/>
    <w:rsid w:val="00A73694"/>
    <w:rsid w:val="00AA36A6"/>
    <w:rsid w:val="00B14A6F"/>
    <w:rsid w:val="00B241CD"/>
    <w:rsid w:val="00B459D2"/>
    <w:rsid w:val="00B63CB6"/>
    <w:rsid w:val="00B700BB"/>
    <w:rsid w:val="00B74DB7"/>
    <w:rsid w:val="00BA0E40"/>
    <w:rsid w:val="00BC42A9"/>
    <w:rsid w:val="00C13CAD"/>
    <w:rsid w:val="00C478A9"/>
    <w:rsid w:val="00C676DA"/>
    <w:rsid w:val="00C728B3"/>
    <w:rsid w:val="00C769FA"/>
    <w:rsid w:val="00C941EB"/>
    <w:rsid w:val="00CB00FD"/>
    <w:rsid w:val="00CD6885"/>
    <w:rsid w:val="00CF1CE4"/>
    <w:rsid w:val="00CF5B57"/>
    <w:rsid w:val="00D007E9"/>
    <w:rsid w:val="00D12B4A"/>
    <w:rsid w:val="00D72690"/>
    <w:rsid w:val="00DC75A7"/>
    <w:rsid w:val="00DD7235"/>
    <w:rsid w:val="00DE5EDC"/>
    <w:rsid w:val="00DF75DA"/>
    <w:rsid w:val="00E117DE"/>
    <w:rsid w:val="00E17B88"/>
    <w:rsid w:val="00E2033A"/>
    <w:rsid w:val="00E26B2B"/>
    <w:rsid w:val="00E2736E"/>
    <w:rsid w:val="00E32661"/>
    <w:rsid w:val="00E727C0"/>
    <w:rsid w:val="00EA12DB"/>
    <w:rsid w:val="00EB61DB"/>
    <w:rsid w:val="00ED0996"/>
    <w:rsid w:val="00ED1FA4"/>
    <w:rsid w:val="00EE2056"/>
    <w:rsid w:val="00F03E8A"/>
    <w:rsid w:val="00F14AAB"/>
    <w:rsid w:val="00F21A5C"/>
    <w:rsid w:val="00F23A14"/>
    <w:rsid w:val="00F55514"/>
    <w:rsid w:val="00F85AFC"/>
    <w:rsid w:val="00FA3ECD"/>
    <w:rsid w:val="00FA6826"/>
    <w:rsid w:val="00FE1D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A6C68"/>
  <w15:chartTrackingRefBased/>
  <w15:docId w15:val="{E616A004-1D3E-4649-9381-A79D6139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6" w:unhideWhenUsed="1" w:qFormat="1"/>
    <w:lsdException w:name="heading 5" w:semiHidden="1" w:uiPriority="6" w:unhideWhenUsed="1" w:qFormat="1"/>
    <w:lsdException w:name="heading 6" w:semiHidden="1" w:uiPriority="6"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uiPriority w:val="99"/>
    <w:qFormat/>
    <w:rsid w:val="004277DF"/>
    <w:pPr>
      <w:spacing w:before="240" w:after="120" w:line="240" w:lineRule="atLeast"/>
    </w:pPr>
    <w:rPr>
      <w:kern w:val="0"/>
      <w:sz w:val="20"/>
      <w:szCs w:val="22"/>
      <w14:ligatures w14:val="none"/>
    </w:rPr>
  </w:style>
  <w:style w:type="paragraph" w:styleId="Heading1">
    <w:name w:val="heading 1"/>
    <w:basedOn w:val="BodyText"/>
    <w:next w:val="BodyText"/>
    <w:link w:val="Heading1Char"/>
    <w:uiPriority w:val="1"/>
    <w:qFormat/>
    <w:rsid w:val="00B14A6F"/>
    <w:pPr>
      <w:keepNext/>
      <w:numPr>
        <w:numId w:val="12"/>
      </w:numPr>
      <w:spacing w:after="240" w:line="440" w:lineRule="atLeast"/>
      <w:outlineLvl w:val="0"/>
    </w:pPr>
    <w:rPr>
      <w:rFonts w:asciiTheme="majorHAnsi" w:eastAsiaTheme="majorEastAsia" w:hAnsiTheme="majorHAnsi" w:cstheme="majorBidi"/>
      <w:b/>
      <w:bCs/>
      <w:color w:val="850024" w:themeColor="text2"/>
      <w:sz w:val="40"/>
      <w:szCs w:val="40"/>
    </w:rPr>
  </w:style>
  <w:style w:type="paragraph" w:styleId="Heading2">
    <w:name w:val="heading 2"/>
    <w:basedOn w:val="Heading1"/>
    <w:next w:val="BodyText"/>
    <w:link w:val="Heading2Char"/>
    <w:uiPriority w:val="1"/>
    <w:qFormat/>
    <w:rsid w:val="00DC75A7"/>
    <w:pPr>
      <w:numPr>
        <w:ilvl w:val="1"/>
      </w:numPr>
      <w:spacing w:before="360" w:line="400" w:lineRule="atLeast"/>
      <w:outlineLvl w:val="1"/>
    </w:pPr>
    <w:rPr>
      <w:bCs w:val="0"/>
      <w:color w:val="5C7181" w:themeColor="accent6"/>
      <w:sz w:val="36"/>
      <w:szCs w:val="32"/>
    </w:rPr>
  </w:style>
  <w:style w:type="paragraph" w:styleId="Heading3">
    <w:name w:val="heading 3"/>
    <w:basedOn w:val="Heading2"/>
    <w:next w:val="BodyText"/>
    <w:link w:val="Heading3Char"/>
    <w:uiPriority w:val="1"/>
    <w:qFormat/>
    <w:rsid w:val="00B241CD"/>
    <w:pPr>
      <w:numPr>
        <w:ilvl w:val="2"/>
      </w:numPr>
      <w:spacing w:line="360" w:lineRule="atLeast"/>
      <w:outlineLvl w:val="2"/>
    </w:pPr>
    <w:rPr>
      <w:bCs/>
      <w:color w:val="auto"/>
      <w:sz w:val="32"/>
      <w:szCs w:val="28"/>
    </w:rPr>
  </w:style>
  <w:style w:type="paragraph" w:styleId="Heading4">
    <w:name w:val="heading 4"/>
    <w:basedOn w:val="Heading3"/>
    <w:next w:val="BodyText"/>
    <w:link w:val="Heading4Char"/>
    <w:uiPriority w:val="6"/>
    <w:qFormat/>
    <w:rsid w:val="00B241CD"/>
    <w:pPr>
      <w:numPr>
        <w:ilvl w:val="3"/>
      </w:numPr>
      <w:spacing w:line="320" w:lineRule="atLeast"/>
      <w:outlineLvl w:val="3"/>
    </w:pPr>
    <w:rPr>
      <w:bCs w:val="0"/>
      <w:iCs/>
      <w:sz w:val="28"/>
    </w:rPr>
  </w:style>
  <w:style w:type="paragraph" w:styleId="Heading5">
    <w:name w:val="heading 5"/>
    <w:basedOn w:val="Heading4"/>
    <w:next w:val="BodyText"/>
    <w:link w:val="Heading5Char"/>
    <w:uiPriority w:val="6"/>
    <w:qFormat/>
    <w:rsid w:val="00B241CD"/>
    <w:pPr>
      <w:numPr>
        <w:ilvl w:val="4"/>
      </w:numPr>
      <w:spacing w:line="300" w:lineRule="atLeast"/>
      <w:outlineLvl w:val="4"/>
    </w:pPr>
    <w:rPr>
      <w:rFonts w:cstheme="minorHAnsi"/>
      <w:sz w:val="26"/>
      <w:szCs w:val="24"/>
    </w:rPr>
  </w:style>
  <w:style w:type="paragraph" w:styleId="Heading6">
    <w:name w:val="heading 6"/>
    <w:basedOn w:val="Heading5"/>
    <w:next w:val="BodyText"/>
    <w:link w:val="Heading6Char"/>
    <w:uiPriority w:val="6"/>
    <w:qFormat/>
    <w:rsid w:val="00B241CD"/>
    <w:pPr>
      <w:numPr>
        <w:ilvl w:val="5"/>
      </w:numPr>
      <w:spacing w:line="280" w:lineRule="atLeast"/>
      <w:outlineLvl w:val="5"/>
    </w:pPr>
    <w:rPr>
      <w:i/>
      <w:iCs w:val="0"/>
      <w:sz w:val="24"/>
      <w:szCs w:val="22"/>
    </w:rPr>
  </w:style>
  <w:style w:type="paragraph" w:styleId="Heading7">
    <w:name w:val="heading 7"/>
    <w:aliases w:val="Appendix Heading 1"/>
    <w:basedOn w:val="Heading1"/>
    <w:next w:val="BodyText"/>
    <w:link w:val="Heading7Char"/>
    <w:uiPriority w:val="10"/>
    <w:qFormat/>
    <w:rsid w:val="00B241CD"/>
    <w:pPr>
      <w:numPr>
        <w:numId w:val="3"/>
      </w:numPr>
      <w:tabs>
        <w:tab w:val="left" w:pos="2552"/>
      </w:tabs>
      <w:spacing w:before="0"/>
      <w:outlineLvl w:val="6"/>
    </w:pPr>
    <w:rPr>
      <w:iCs/>
    </w:rPr>
  </w:style>
  <w:style w:type="paragraph" w:styleId="Heading8">
    <w:name w:val="heading 8"/>
    <w:aliases w:val="Appendix Heading 2"/>
    <w:basedOn w:val="Heading7"/>
    <w:next w:val="BodyText"/>
    <w:link w:val="Heading8Char"/>
    <w:uiPriority w:val="10"/>
    <w:qFormat/>
    <w:rsid w:val="00DC75A7"/>
    <w:pPr>
      <w:numPr>
        <w:ilvl w:val="1"/>
      </w:numPr>
      <w:tabs>
        <w:tab w:val="clear" w:pos="2552"/>
      </w:tabs>
      <w:spacing w:before="360" w:line="400" w:lineRule="atLeast"/>
      <w:outlineLvl w:val="7"/>
    </w:pPr>
    <w:rPr>
      <w:color w:val="5C7181" w:themeColor="accent6"/>
      <w:sz w:val="36"/>
      <w:szCs w:val="20"/>
    </w:rPr>
  </w:style>
  <w:style w:type="paragraph" w:styleId="Heading9">
    <w:name w:val="heading 9"/>
    <w:aliases w:val="Appendix Heading 3"/>
    <w:basedOn w:val="Heading8"/>
    <w:next w:val="BodyText"/>
    <w:link w:val="Heading9Char"/>
    <w:uiPriority w:val="10"/>
    <w:qFormat/>
    <w:rsid w:val="00B241CD"/>
    <w:pPr>
      <w:numPr>
        <w:ilvl w:val="2"/>
      </w:numPr>
      <w:spacing w:line="360" w:lineRule="atLeast"/>
      <w:outlineLvl w:val="8"/>
    </w:pPr>
    <w:rPr>
      <w:iCs w:val="0"/>
      <w:color w:val="auto"/>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_Bold"/>
    <w:uiPriority w:val="1"/>
    <w:qFormat/>
    <w:rsid w:val="00B241CD"/>
    <w:rPr>
      <w:b/>
    </w:rPr>
  </w:style>
  <w:style w:type="character" w:customStyle="1" w:styleId="BoldItalic">
    <w:name w:val="_Bold Italic"/>
    <w:uiPriority w:val="1"/>
    <w:qFormat/>
    <w:rsid w:val="00B241CD"/>
    <w:rPr>
      <w:b/>
      <w:i/>
    </w:rPr>
  </w:style>
  <w:style w:type="character" w:customStyle="1" w:styleId="Highlight-Blue">
    <w:name w:val="_Highlight-Blue"/>
    <w:uiPriority w:val="1"/>
    <w:qFormat/>
    <w:rsid w:val="00B241CD"/>
    <w:rPr>
      <w:bdr w:val="none" w:sz="0" w:space="0" w:color="auto"/>
      <w:shd w:val="clear" w:color="auto" w:fill="CCFFFF"/>
    </w:rPr>
  </w:style>
  <w:style w:type="character" w:customStyle="1" w:styleId="Highlight-Yellow">
    <w:name w:val="_Highlight-Yellow"/>
    <w:uiPriority w:val="1"/>
    <w:qFormat/>
    <w:rsid w:val="00B241CD"/>
    <w:rPr>
      <w:bdr w:val="none" w:sz="0" w:space="0" w:color="auto"/>
      <w:shd w:val="clear" w:color="auto" w:fill="FFFF00"/>
    </w:rPr>
  </w:style>
  <w:style w:type="character" w:customStyle="1" w:styleId="Italic">
    <w:name w:val="_Italic"/>
    <w:uiPriority w:val="1"/>
    <w:qFormat/>
    <w:rsid w:val="00B241CD"/>
    <w:rPr>
      <w:i/>
    </w:rPr>
  </w:style>
  <w:style w:type="character" w:customStyle="1" w:styleId="Italicunderline">
    <w:name w:val="_Italic underline"/>
    <w:uiPriority w:val="1"/>
    <w:qFormat/>
    <w:rsid w:val="00B241CD"/>
    <w:rPr>
      <w:i/>
      <w:u w:val="single"/>
    </w:rPr>
  </w:style>
  <w:style w:type="character" w:customStyle="1" w:styleId="Strikethrough">
    <w:name w:val="_Strikethrough"/>
    <w:uiPriority w:val="1"/>
    <w:qFormat/>
    <w:rsid w:val="00B241CD"/>
    <w:rPr>
      <w:strike/>
      <w:dstrike w:val="0"/>
    </w:rPr>
  </w:style>
  <w:style w:type="character" w:customStyle="1" w:styleId="Subscript">
    <w:name w:val="_Subscript"/>
    <w:uiPriority w:val="1"/>
    <w:qFormat/>
    <w:rsid w:val="00B241CD"/>
    <w:rPr>
      <w:vertAlign w:val="subscript"/>
    </w:rPr>
  </w:style>
  <w:style w:type="character" w:customStyle="1" w:styleId="Superscript">
    <w:name w:val="_Superscript"/>
    <w:uiPriority w:val="1"/>
    <w:qFormat/>
    <w:rsid w:val="00B241CD"/>
    <w:rPr>
      <w:vertAlign w:val="superscript"/>
    </w:rPr>
  </w:style>
  <w:style w:type="character" w:customStyle="1" w:styleId="Templateinstructions">
    <w:name w:val="_Template instructions"/>
    <w:basedOn w:val="DefaultParagraphFont"/>
    <w:uiPriority w:val="9"/>
    <w:qFormat/>
    <w:rsid w:val="00B241CD"/>
    <w:rPr>
      <w:color w:val="FF0000"/>
    </w:rPr>
  </w:style>
  <w:style w:type="character" w:customStyle="1" w:styleId="Underline">
    <w:name w:val="_Underline"/>
    <w:uiPriority w:val="1"/>
    <w:qFormat/>
    <w:rsid w:val="00B241CD"/>
    <w:rPr>
      <w:u w:val="single"/>
    </w:rPr>
  </w:style>
  <w:style w:type="paragraph" w:styleId="BodyText">
    <w:name w:val="Body Text"/>
    <w:link w:val="BodyTextChar"/>
    <w:qFormat/>
    <w:rsid w:val="00B241CD"/>
    <w:pPr>
      <w:keepLines/>
      <w:spacing w:before="240" w:after="120" w:line="240" w:lineRule="atLeast"/>
    </w:pPr>
    <w:rPr>
      <w:kern w:val="0"/>
      <w:sz w:val="20"/>
      <w:szCs w:val="22"/>
      <w14:ligatures w14:val="none"/>
    </w:rPr>
  </w:style>
  <w:style w:type="character" w:customStyle="1" w:styleId="BodyTextChar">
    <w:name w:val="Body Text Char"/>
    <w:basedOn w:val="DefaultParagraphFont"/>
    <w:link w:val="BodyText"/>
    <w:rsid w:val="00B241CD"/>
    <w:rPr>
      <w:kern w:val="0"/>
      <w:sz w:val="20"/>
      <w:szCs w:val="22"/>
      <w14:ligatures w14:val="none"/>
    </w:rPr>
  </w:style>
  <w:style w:type="paragraph" w:styleId="BalloonText">
    <w:name w:val="Balloon Text"/>
    <w:basedOn w:val="Normal"/>
    <w:link w:val="BalloonTextChar"/>
    <w:uiPriority w:val="99"/>
    <w:semiHidden/>
    <w:rsid w:val="00B241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1CD"/>
    <w:rPr>
      <w:rFonts w:ascii="Tahoma" w:hAnsi="Tahoma" w:cs="Tahoma"/>
      <w:kern w:val="0"/>
      <w:sz w:val="16"/>
      <w:szCs w:val="16"/>
      <w14:ligatures w14:val="none"/>
    </w:rPr>
  </w:style>
  <w:style w:type="paragraph" w:customStyle="1" w:styleId="BodyBullet1">
    <w:name w:val="Body Bullet 1"/>
    <w:basedOn w:val="BodyText"/>
    <w:uiPriority w:val="1"/>
    <w:qFormat/>
    <w:rsid w:val="00B241CD"/>
    <w:pPr>
      <w:numPr>
        <w:numId w:val="1"/>
      </w:numPr>
      <w:spacing w:before="120"/>
    </w:pPr>
  </w:style>
  <w:style w:type="paragraph" w:customStyle="1" w:styleId="BodyBullet2">
    <w:name w:val="Body Bullet 2"/>
    <w:basedOn w:val="BodyBullet1"/>
    <w:uiPriority w:val="1"/>
    <w:qFormat/>
    <w:rsid w:val="00B241CD"/>
    <w:pPr>
      <w:numPr>
        <w:ilvl w:val="1"/>
      </w:numPr>
    </w:pPr>
  </w:style>
  <w:style w:type="paragraph" w:customStyle="1" w:styleId="BodyBullet3">
    <w:name w:val="Body Bullet 3"/>
    <w:basedOn w:val="BodyBullet2"/>
    <w:uiPriority w:val="1"/>
    <w:qFormat/>
    <w:rsid w:val="00B241CD"/>
    <w:pPr>
      <w:numPr>
        <w:ilvl w:val="2"/>
      </w:numPr>
    </w:pPr>
  </w:style>
  <w:style w:type="paragraph" w:customStyle="1" w:styleId="BodyIndent1">
    <w:name w:val="Body Indent 1"/>
    <w:basedOn w:val="BodyBullet1"/>
    <w:uiPriority w:val="3"/>
    <w:qFormat/>
    <w:rsid w:val="00B241CD"/>
    <w:pPr>
      <w:numPr>
        <w:numId w:val="0"/>
      </w:numPr>
      <w:ind w:left="340"/>
    </w:pPr>
  </w:style>
  <w:style w:type="paragraph" w:customStyle="1" w:styleId="BodyIndent2">
    <w:name w:val="Body Indent 2"/>
    <w:basedOn w:val="BodyBullet2"/>
    <w:uiPriority w:val="3"/>
    <w:qFormat/>
    <w:rsid w:val="00B241CD"/>
    <w:pPr>
      <w:numPr>
        <w:ilvl w:val="0"/>
        <w:numId w:val="0"/>
      </w:numPr>
      <w:ind w:left="680"/>
    </w:pPr>
  </w:style>
  <w:style w:type="paragraph" w:customStyle="1" w:styleId="BodyIndent3">
    <w:name w:val="Body Indent 3"/>
    <w:basedOn w:val="BodyBullet3"/>
    <w:uiPriority w:val="3"/>
    <w:qFormat/>
    <w:rsid w:val="00B241CD"/>
    <w:pPr>
      <w:numPr>
        <w:ilvl w:val="0"/>
        <w:numId w:val="0"/>
      </w:numPr>
      <w:ind w:left="1021"/>
    </w:pPr>
  </w:style>
  <w:style w:type="paragraph" w:customStyle="1" w:styleId="BodyNumbering1">
    <w:name w:val="Body Numbering 1"/>
    <w:basedOn w:val="BodyBullet1"/>
    <w:uiPriority w:val="9"/>
    <w:qFormat/>
    <w:rsid w:val="00B241CD"/>
    <w:pPr>
      <w:numPr>
        <w:ilvl w:val="6"/>
        <w:numId w:val="12"/>
      </w:numPr>
    </w:pPr>
  </w:style>
  <w:style w:type="paragraph" w:customStyle="1" w:styleId="BodyNumbering2">
    <w:name w:val="Body Numbering 2"/>
    <w:basedOn w:val="BodyNumbering1"/>
    <w:uiPriority w:val="9"/>
    <w:qFormat/>
    <w:rsid w:val="00B241CD"/>
    <w:pPr>
      <w:numPr>
        <w:ilvl w:val="7"/>
      </w:numPr>
    </w:pPr>
  </w:style>
  <w:style w:type="paragraph" w:customStyle="1" w:styleId="BodyNumbering3">
    <w:name w:val="Body Numbering 3"/>
    <w:basedOn w:val="BodyNumbering2"/>
    <w:uiPriority w:val="9"/>
    <w:qFormat/>
    <w:rsid w:val="00B241CD"/>
    <w:pPr>
      <w:numPr>
        <w:ilvl w:val="8"/>
      </w:numPr>
    </w:pPr>
  </w:style>
  <w:style w:type="paragraph" w:customStyle="1" w:styleId="BodyTextSingleSpacing">
    <w:name w:val="Body Text Single Spacing"/>
    <w:basedOn w:val="BodyText"/>
    <w:uiPriority w:val="99"/>
    <w:qFormat/>
    <w:rsid w:val="00B241CD"/>
    <w:pPr>
      <w:spacing w:before="0" w:after="0"/>
    </w:pPr>
  </w:style>
  <w:style w:type="paragraph" w:customStyle="1" w:styleId="TableText">
    <w:name w:val="Table Text"/>
    <w:basedOn w:val="BodyText"/>
    <w:uiPriority w:val="2"/>
    <w:qFormat/>
    <w:rsid w:val="00B241CD"/>
    <w:pPr>
      <w:numPr>
        <w:numId w:val="10"/>
      </w:numPr>
      <w:spacing w:before="60" w:after="60" w:line="240" w:lineRule="auto"/>
    </w:pPr>
    <w:rPr>
      <w:sz w:val="18"/>
      <w:szCs w:val="20"/>
    </w:rPr>
  </w:style>
  <w:style w:type="paragraph" w:customStyle="1" w:styleId="CalloutHeader">
    <w:name w:val="Callout Header"/>
    <w:basedOn w:val="TableText"/>
    <w:uiPriority w:val="99"/>
    <w:qFormat/>
    <w:rsid w:val="00B241CD"/>
    <w:pPr>
      <w:spacing w:before="120" w:after="0"/>
    </w:pPr>
    <w:rPr>
      <w:b/>
      <w:color w:val="000000" w:themeColor="text1"/>
      <w:sz w:val="22"/>
    </w:rPr>
  </w:style>
  <w:style w:type="paragraph" w:customStyle="1" w:styleId="Callouttext">
    <w:name w:val="Callout text"/>
    <w:basedOn w:val="TableText"/>
    <w:uiPriority w:val="99"/>
    <w:qFormat/>
    <w:rsid w:val="00B241CD"/>
    <w:rPr>
      <w:color w:val="000000" w:themeColor="text1"/>
    </w:rPr>
  </w:style>
  <w:style w:type="paragraph" w:styleId="Caption">
    <w:name w:val="caption"/>
    <w:basedOn w:val="BodyText"/>
    <w:next w:val="Normal"/>
    <w:uiPriority w:val="4"/>
    <w:qFormat/>
    <w:rsid w:val="00B241CD"/>
    <w:pPr>
      <w:keepNext/>
      <w:spacing w:before="360" w:after="240" w:line="240" w:lineRule="auto"/>
      <w:ind w:left="1134" w:hanging="1134"/>
    </w:pPr>
    <w:rPr>
      <w:bCs/>
      <w:i/>
      <w:color w:val="000000" w:themeColor="text1"/>
      <w:szCs w:val="20"/>
    </w:rPr>
  </w:style>
  <w:style w:type="paragraph" w:customStyle="1" w:styleId="Cover1-Logo">
    <w:name w:val="Cover 1 - Logo"/>
    <w:basedOn w:val="BodyText"/>
    <w:next w:val="Normal"/>
    <w:uiPriority w:val="99"/>
    <w:semiHidden/>
    <w:qFormat/>
    <w:rsid w:val="00B241CD"/>
    <w:pPr>
      <w:spacing w:before="0" w:after="200"/>
    </w:pPr>
    <w:rPr>
      <w:rFonts w:asciiTheme="majorHAnsi" w:hAnsiTheme="majorHAnsi"/>
      <w:color w:val="FFFFFF" w:themeColor="background1"/>
    </w:rPr>
  </w:style>
  <w:style w:type="paragraph" w:customStyle="1" w:styleId="Cover2-Date">
    <w:name w:val="Cover 2 - Date"/>
    <w:basedOn w:val="Cover1-Logo"/>
    <w:next w:val="Normal"/>
    <w:uiPriority w:val="99"/>
    <w:semiHidden/>
    <w:qFormat/>
    <w:rsid w:val="00B241CD"/>
    <w:pPr>
      <w:spacing w:before="240" w:after="240" w:line="320" w:lineRule="atLeast"/>
    </w:pPr>
    <w:rPr>
      <w:b/>
      <w:sz w:val="28"/>
      <w:szCs w:val="48"/>
    </w:rPr>
  </w:style>
  <w:style w:type="paragraph" w:customStyle="1" w:styleId="Cover3-Title">
    <w:name w:val="Cover 3 - Title"/>
    <w:basedOn w:val="Cover2-Date"/>
    <w:next w:val="Normal"/>
    <w:uiPriority w:val="99"/>
    <w:semiHidden/>
    <w:qFormat/>
    <w:rsid w:val="00B241CD"/>
    <w:pPr>
      <w:spacing w:before="0" w:line="640" w:lineRule="atLeast"/>
    </w:pPr>
    <w:rPr>
      <w:sz w:val="58"/>
    </w:rPr>
  </w:style>
  <w:style w:type="paragraph" w:customStyle="1" w:styleId="Cover4-Subtitle">
    <w:name w:val="Cover 4 - Subtitle"/>
    <w:basedOn w:val="Cover3-Title"/>
    <w:next w:val="Normal"/>
    <w:uiPriority w:val="99"/>
    <w:semiHidden/>
    <w:qFormat/>
    <w:rsid w:val="00B241CD"/>
    <w:pPr>
      <w:spacing w:before="80" w:line="400" w:lineRule="atLeast"/>
    </w:pPr>
    <w:rPr>
      <w:sz w:val="28"/>
      <w:szCs w:val="76"/>
    </w:rPr>
  </w:style>
  <w:style w:type="paragraph" w:customStyle="1" w:styleId="Cover5-Spacing">
    <w:name w:val="Cover 5 - Spacing"/>
    <w:basedOn w:val="Cover4-Subtitle"/>
    <w:next w:val="BodyText"/>
    <w:uiPriority w:val="99"/>
    <w:semiHidden/>
    <w:qFormat/>
    <w:rsid w:val="00B241CD"/>
    <w:pPr>
      <w:spacing w:before="280" w:after="1440" w:line="280" w:lineRule="atLeast"/>
    </w:pPr>
    <w:rPr>
      <w:b w:val="0"/>
      <w:color w:val="B5C1B8" w:themeColor="accent1"/>
      <w:sz w:val="24"/>
    </w:rPr>
  </w:style>
  <w:style w:type="paragraph" w:customStyle="1" w:styleId="Cover6-Docnumber">
    <w:name w:val="Cover 6 - Doc number"/>
    <w:basedOn w:val="Cover4-Subtitle"/>
    <w:uiPriority w:val="99"/>
    <w:semiHidden/>
    <w:qFormat/>
    <w:rsid w:val="00B241CD"/>
    <w:rPr>
      <w:b w:val="0"/>
      <w:sz w:val="24"/>
    </w:rPr>
  </w:style>
  <w:style w:type="paragraph" w:styleId="Date">
    <w:name w:val="Date"/>
    <w:basedOn w:val="BodyText"/>
    <w:next w:val="BodyTextSingleSpacing"/>
    <w:link w:val="DateChar"/>
    <w:uiPriority w:val="99"/>
    <w:semiHidden/>
    <w:rsid w:val="00B241CD"/>
    <w:pPr>
      <w:pageBreakBefore/>
      <w:spacing w:after="720"/>
    </w:pPr>
  </w:style>
  <w:style w:type="character" w:customStyle="1" w:styleId="DateChar">
    <w:name w:val="Date Char"/>
    <w:basedOn w:val="DefaultParagraphFont"/>
    <w:link w:val="Date"/>
    <w:uiPriority w:val="99"/>
    <w:semiHidden/>
    <w:rsid w:val="00B241CD"/>
    <w:rPr>
      <w:kern w:val="0"/>
      <w:sz w:val="20"/>
      <w:szCs w:val="22"/>
      <w14:ligatures w14:val="none"/>
    </w:rPr>
  </w:style>
  <w:style w:type="paragraph" w:customStyle="1" w:styleId="Disclaimer">
    <w:name w:val="Disclaimer"/>
    <w:basedOn w:val="Normal"/>
    <w:next w:val="BodyText"/>
    <w:semiHidden/>
    <w:rsid w:val="00B241CD"/>
    <w:pPr>
      <w:spacing w:before="3000" w:line="240" w:lineRule="auto"/>
    </w:pPr>
    <w:rPr>
      <w:sz w:val="16"/>
      <w:szCs w:val="16"/>
    </w:rPr>
  </w:style>
  <w:style w:type="character" w:styleId="EndnoteReference">
    <w:name w:val="endnote reference"/>
    <w:basedOn w:val="DefaultParagraphFont"/>
    <w:uiPriority w:val="99"/>
    <w:qFormat/>
    <w:rsid w:val="00B241CD"/>
    <w:rPr>
      <w:vertAlign w:val="superscript"/>
    </w:rPr>
  </w:style>
  <w:style w:type="paragraph" w:styleId="EndnoteText">
    <w:name w:val="endnote text"/>
    <w:basedOn w:val="Normal"/>
    <w:link w:val="EndnoteTextChar"/>
    <w:qFormat/>
    <w:rsid w:val="00B241CD"/>
    <w:pPr>
      <w:spacing w:before="60" w:after="60" w:line="240" w:lineRule="auto"/>
      <w:ind w:left="340" w:hanging="340"/>
    </w:pPr>
    <w:rPr>
      <w:sz w:val="18"/>
      <w:szCs w:val="18"/>
    </w:rPr>
  </w:style>
  <w:style w:type="character" w:customStyle="1" w:styleId="EndnoteTextChar">
    <w:name w:val="Endnote Text Char"/>
    <w:basedOn w:val="DefaultParagraphFont"/>
    <w:link w:val="EndnoteText"/>
    <w:uiPriority w:val="99"/>
    <w:rsid w:val="00B241CD"/>
    <w:rPr>
      <w:kern w:val="0"/>
      <w:sz w:val="18"/>
      <w:szCs w:val="18"/>
      <w14:ligatures w14:val="none"/>
    </w:rPr>
  </w:style>
  <w:style w:type="character" w:styleId="FollowedHyperlink">
    <w:name w:val="FollowedHyperlink"/>
    <w:basedOn w:val="DefaultParagraphFont"/>
    <w:uiPriority w:val="99"/>
    <w:semiHidden/>
    <w:unhideWhenUsed/>
    <w:rsid w:val="00B241CD"/>
    <w:rPr>
      <w:color w:val="85A3A9" w:themeColor="followedHyperlink"/>
      <w:u w:val="single"/>
    </w:rPr>
  </w:style>
  <w:style w:type="paragraph" w:styleId="Footer">
    <w:name w:val="footer"/>
    <w:basedOn w:val="BodyText"/>
    <w:link w:val="FooterChar"/>
    <w:uiPriority w:val="99"/>
    <w:qFormat/>
    <w:rsid w:val="00B241CD"/>
    <w:pPr>
      <w:spacing w:after="40" w:line="240" w:lineRule="auto"/>
    </w:pPr>
    <w:rPr>
      <w:rFonts w:cstheme="minorHAnsi"/>
      <w:noProof/>
      <w:color w:val="808080" w:themeColor="background1" w:themeShade="80"/>
      <w:sz w:val="18"/>
      <w:szCs w:val="18"/>
    </w:rPr>
  </w:style>
  <w:style w:type="character" w:customStyle="1" w:styleId="FooterChar">
    <w:name w:val="Footer Char"/>
    <w:basedOn w:val="DefaultParagraphFont"/>
    <w:link w:val="Footer"/>
    <w:uiPriority w:val="99"/>
    <w:rsid w:val="00B241CD"/>
    <w:rPr>
      <w:rFonts w:cstheme="minorHAnsi"/>
      <w:noProof/>
      <w:color w:val="808080" w:themeColor="background1" w:themeShade="80"/>
      <w:kern w:val="0"/>
      <w:sz w:val="18"/>
      <w:szCs w:val="18"/>
      <w14:ligatures w14:val="none"/>
    </w:rPr>
  </w:style>
  <w:style w:type="paragraph" w:customStyle="1" w:styleId="Footersecondline">
    <w:name w:val="Footer second line"/>
    <w:basedOn w:val="Footer"/>
    <w:uiPriority w:val="99"/>
    <w:semiHidden/>
    <w:qFormat/>
    <w:rsid w:val="00B241CD"/>
    <w:pPr>
      <w:spacing w:before="40" w:after="0"/>
    </w:pPr>
    <w:rPr>
      <w:noProof w:val="0"/>
    </w:rPr>
  </w:style>
  <w:style w:type="character" w:styleId="FootnoteReference">
    <w:name w:val="footnote reference"/>
    <w:basedOn w:val="DefaultParagraphFont"/>
    <w:uiPriority w:val="8"/>
    <w:qFormat/>
    <w:rsid w:val="00B241CD"/>
    <w:rPr>
      <w:vertAlign w:val="superscript"/>
    </w:rPr>
  </w:style>
  <w:style w:type="paragraph" w:styleId="FootnoteText">
    <w:name w:val="footnote text"/>
    <w:basedOn w:val="Normal"/>
    <w:link w:val="FootnoteTextChar"/>
    <w:uiPriority w:val="8"/>
    <w:qFormat/>
    <w:rsid w:val="00B241CD"/>
    <w:pPr>
      <w:spacing w:before="60" w:after="60" w:line="240" w:lineRule="auto"/>
      <w:ind w:left="340" w:hanging="340"/>
    </w:pPr>
    <w:rPr>
      <w:sz w:val="18"/>
      <w:szCs w:val="18"/>
    </w:rPr>
  </w:style>
  <w:style w:type="character" w:customStyle="1" w:styleId="FootnoteTextChar">
    <w:name w:val="Footnote Text Char"/>
    <w:basedOn w:val="DefaultParagraphFont"/>
    <w:link w:val="FootnoteText"/>
    <w:uiPriority w:val="8"/>
    <w:rsid w:val="00B241CD"/>
    <w:rPr>
      <w:kern w:val="0"/>
      <w:sz w:val="18"/>
      <w:szCs w:val="18"/>
      <w14:ligatures w14:val="none"/>
    </w:rPr>
  </w:style>
  <w:style w:type="paragraph" w:styleId="Header">
    <w:name w:val="header"/>
    <w:basedOn w:val="BodyText"/>
    <w:link w:val="HeaderChar"/>
    <w:uiPriority w:val="99"/>
    <w:qFormat/>
    <w:rsid w:val="00B241CD"/>
    <w:pPr>
      <w:spacing w:before="0" w:line="240" w:lineRule="auto"/>
      <w:jc w:val="right"/>
    </w:pPr>
    <w:rPr>
      <w:color w:val="850024" w:themeColor="text2"/>
      <w:sz w:val="18"/>
      <w:szCs w:val="18"/>
    </w:rPr>
  </w:style>
  <w:style w:type="character" w:customStyle="1" w:styleId="HeaderChar">
    <w:name w:val="Header Char"/>
    <w:basedOn w:val="DefaultParagraphFont"/>
    <w:link w:val="Header"/>
    <w:uiPriority w:val="99"/>
    <w:rsid w:val="00B241CD"/>
    <w:rPr>
      <w:color w:val="850024" w:themeColor="text2"/>
      <w:kern w:val="0"/>
      <w:sz w:val="18"/>
      <w:szCs w:val="18"/>
      <w14:ligatures w14:val="none"/>
    </w:rPr>
  </w:style>
  <w:style w:type="character" w:customStyle="1" w:styleId="Heading1Char">
    <w:name w:val="Heading 1 Char"/>
    <w:basedOn w:val="DefaultParagraphFont"/>
    <w:link w:val="Heading1"/>
    <w:uiPriority w:val="1"/>
    <w:rsid w:val="00B14A6F"/>
    <w:rPr>
      <w:rFonts w:asciiTheme="majorHAnsi" w:eastAsiaTheme="majorEastAsia" w:hAnsiTheme="majorHAnsi" w:cstheme="majorBidi"/>
      <w:b/>
      <w:bCs/>
      <w:color w:val="850024" w:themeColor="text2"/>
      <w:kern w:val="0"/>
      <w:sz w:val="40"/>
      <w:szCs w:val="40"/>
      <w14:ligatures w14:val="none"/>
    </w:rPr>
  </w:style>
  <w:style w:type="paragraph" w:customStyle="1" w:styleId="Heading1NoNumber">
    <w:name w:val="Heading 1 No Number"/>
    <w:basedOn w:val="Heading1"/>
    <w:next w:val="BodyText"/>
    <w:uiPriority w:val="10"/>
    <w:qFormat/>
    <w:rsid w:val="00B14A6F"/>
    <w:pPr>
      <w:numPr>
        <w:numId w:val="0"/>
      </w:numPr>
      <w:spacing w:before="0"/>
    </w:pPr>
  </w:style>
  <w:style w:type="character" w:customStyle="1" w:styleId="Heading2Char">
    <w:name w:val="Heading 2 Char"/>
    <w:basedOn w:val="DefaultParagraphFont"/>
    <w:link w:val="Heading2"/>
    <w:uiPriority w:val="9"/>
    <w:rsid w:val="00DC75A7"/>
    <w:rPr>
      <w:rFonts w:asciiTheme="majorHAnsi" w:eastAsiaTheme="majorEastAsia" w:hAnsiTheme="majorHAnsi" w:cstheme="majorBidi"/>
      <w:b/>
      <w:color w:val="5C7181" w:themeColor="accent6"/>
      <w:kern w:val="0"/>
      <w:sz w:val="36"/>
      <w:szCs w:val="32"/>
      <w14:ligatures w14:val="none"/>
    </w:rPr>
  </w:style>
  <w:style w:type="paragraph" w:customStyle="1" w:styleId="Heading2NoNumber">
    <w:name w:val="Heading 2 No Number"/>
    <w:basedOn w:val="Heading2"/>
    <w:next w:val="BodyText"/>
    <w:uiPriority w:val="99"/>
    <w:qFormat/>
    <w:rsid w:val="00DC75A7"/>
    <w:pPr>
      <w:numPr>
        <w:ilvl w:val="0"/>
        <w:numId w:val="0"/>
      </w:numPr>
    </w:pPr>
  </w:style>
  <w:style w:type="character" w:customStyle="1" w:styleId="Heading3Char">
    <w:name w:val="Heading 3 Char"/>
    <w:basedOn w:val="DefaultParagraphFont"/>
    <w:link w:val="Heading3"/>
    <w:uiPriority w:val="1"/>
    <w:rsid w:val="00B241CD"/>
    <w:rPr>
      <w:rFonts w:asciiTheme="majorHAnsi" w:eastAsiaTheme="majorEastAsia" w:hAnsiTheme="majorHAnsi" w:cstheme="majorBidi"/>
      <w:b/>
      <w:bCs/>
      <w:kern w:val="0"/>
      <w:sz w:val="32"/>
      <w:szCs w:val="28"/>
      <w14:ligatures w14:val="none"/>
    </w:rPr>
  </w:style>
  <w:style w:type="paragraph" w:customStyle="1" w:styleId="Heading3NoNumber">
    <w:name w:val="Heading 3 No Number"/>
    <w:basedOn w:val="Heading3"/>
    <w:next w:val="BodyText"/>
    <w:uiPriority w:val="7"/>
    <w:qFormat/>
    <w:rsid w:val="00B241CD"/>
    <w:pPr>
      <w:numPr>
        <w:ilvl w:val="0"/>
        <w:numId w:val="0"/>
      </w:numPr>
      <w:spacing w:line="240" w:lineRule="auto"/>
    </w:pPr>
  </w:style>
  <w:style w:type="character" w:customStyle="1" w:styleId="Heading4Char">
    <w:name w:val="Heading 4 Char"/>
    <w:basedOn w:val="DefaultParagraphFont"/>
    <w:link w:val="Heading4"/>
    <w:uiPriority w:val="6"/>
    <w:rsid w:val="00B241CD"/>
    <w:rPr>
      <w:rFonts w:asciiTheme="majorHAnsi" w:eastAsiaTheme="majorEastAsia" w:hAnsiTheme="majorHAnsi" w:cstheme="majorBidi"/>
      <w:b/>
      <w:iCs/>
      <w:kern w:val="0"/>
      <w:sz w:val="28"/>
      <w:szCs w:val="28"/>
      <w14:ligatures w14:val="none"/>
    </w:rPr>
  </w:style>
  <w:style w:type="paragraph" w:customStyle="1" w:styleId="Heading4NoNumber">
    <w:name w:val="Heading 4 No Number"/>
    <w:basedOn w:val="Heading4"/>
    <w:next w:val="BodyText"/>
    <w:uiPriority w:val="99"/>
    <w:qFormat/>
    <w:rsid w:val="00B241CD"/>
    <w:pPr>
      <w:numPr>
        <w:ilvl w:val="0"/>
        <w:numId w:val="0"/>
      </w:numPr>
    </w:pPr>
  </w:style>
  <w:style w:type="character" w:customStyle="1" w:styleId="Heading5Char">
    <w:name w:val="Heading 5 Char"/>
    <w:basedOn w:val="DefaultParagraphFont"/>
    <w:link w:val="Heading5"/>
    <w:uiPriority w:val="6"/>
    <w:rsid w:val="00B241CD"/>
    <w:rPr>
      <w:rFonts w:asciiTheme="majorHAnsi" w:eastAsiaTheme="majorEastAsia" w:hAnsiTheme="majorHAnsi" w:cstheme="minorHAnsi"/>
      <w:b/>
      <w:iCs/>
      <w:kern w:val="0"/>
      <w:sz w:val="26"/>
      <w14:ligatures w14:val="none"/>
    </w:rPr>
  </w:style>
  <w:style w:type="character" w:customStyle="1" w:styleId="Heading6Char">
    <w:name w:val="Heading 6 Char"/>
    <w:basedOn w:val="DefaultParagraphFont"/>
    <w:link w:val="Heading6"/>
    <w:uiPriority w:val="6"/>
    <w:rsid w:val="00B241CD"/>
    <w:rPr>
      <w:rFonts w:asciiTheme="majorHAnsi" w:eastAsiaTheme="majorEastAsia" w:hAnsiTheme="majorHAnsi" w:cstheme="minorHAnsi"/>
      <w:b/>
      <w:i/>
      <w:kern w:val="0"/>
      <w:szCs w:val="22"/>
      <w14:ligatures w14:val="none"/>
    </w:rPr>
  </w:style>
  <w:style w:type="character" w:customStyle="1" w:styleId="Heading7Char">
    <w:name w:val="Heading 7 Char"/>
    <w:aliases w:val="Appendix Heading 1 Char"/>
    <w:basedOn w:val="DefaultParagraphFont"/>
    <w:link w:val="Heading7"/>
    <w:uiPriority w:val="10"/>
    <w:rsid w:val="00B241CD"/>
    <w:rPr>
      <w:rFonts w:asciiTheme="majorHAnsi" w:eastAsiaTheme="majorEastAsia" w:hAnsiTheme="majorHAnsi" w:cstheme="majorBidi"/>
      <w:b/>
      <w:bCs/>
      <w:iCs/>
      <w:color w:val="850024" w:themeColor="text2"/>
      <w:kern w:val="0"/>
      <w:sz w:val="40"/>
      <w:szCs w:val="40"/>
      <w14:ligatures w14:val="none"/>
    </w:rPr>
  </w:style>
  <w:style w:type="character" w:customStyle="1" w:styleId="Heading8Char">
    <w:name w:val="Heading 8 Char"/>
    <w:aliases w:val="Appendix Heading 2 Char"/>
    <w:basedOn w:val="DefaultParagraphFont"/>
    <w:link w:val="Heading8"/>
    <w:uiPriority w:val="10"/>
    <w:rsid w:val="00DC75A7"/>
    <w:rPr>
      <w:rFonts w:asciiTheme="majorHAnsi" w:eastAsiaTheme="majorEastAsia" w:hAnsiTheme="majorHAnsi" w:cstheme="majorBidi"/>
      <w:b/>
      <w:bCs/>
      <w:iCs/>
      <w:color w:val="5C7181" w:themeColor="accent6"/>
      <w:kern w:val="0"/>
      <w:sz w:val="36"/>
      <w:szCs w:val="20"/>
      <w14:ligatures w14:val="none"/>
    </w:rPr>
  </w:style>
  <w:style w:type="character" w:customStyle="1" w:styleId="Heading9Char">
    <w:name w:val="Heading 9 Char"/>
    <w:aliases w:val="Appendix Heading 3 Char"/>
    <w:basedOn w:val="DefaultParagraphFont"/>
    <w:link w:val="Heading9"/>
    <w:uiPriority w:val="10"/>
    <w:rsid w:val="00B241CD"/>
    <w:rPr>
      <w:rFonts w:asciiTheme="majorHAnsi" w:eastAsiaTheme="majorEastAsia" w:hAnsiTheme="majorHAnsi" w:cstheme="majorBidi"/>
      <w:b/>
      <w:bCs/>
      <w:kern w:val="0"/>
      <w:sz w:val="32"/>
      <w:szCs w:val="20"/>
      <w14:ligatures w14:val="none"/>
    </w:rPr>
  </w:style>
  <w:style w:type="character" w:styleId="Hyperlink">
    <w:name w:val="Hyperlink"/>
    <w:basedOn w:val="DefaultParagraphFont"/>
    <w:uiPriority w:val="99"/>
    <w:qFormat/>
    <w:rsid w:val="00B241CD"/>
    <w:rPr>
      <w:color w:val="002060"/>
    </w:rPr>
  </w:style>
  <w:style w:type="paragraph" w:styleId="List2">
    <w:name w:val="List 2"/>
    <w:basedOn w:val="Normal"/>
    <w:uiPriority w:val="99"/>
    <w:semiHidden/>
    <w:rsid w:val="00B241CD"/>
    <w:pPr>
      <w:ind w:left="566" w:hanging="283"/>
      <w:contextualSpacing/>
    </w:pPr>
  </w:style>
  <w:style w:type="paragraph" w:styleId="ListBullet">
    <w:name w:val="List Bullet"/>
    <w:basedOn w:val="BodyText"/>
    <w:uiPriority w:val="99"/>
    <w:semiHidden/>
    <w:rsid w:val="00B241CD"/>
    <w:pPr>
      <w:numPr>
        <w:numId w:val="5"/>
      </w:numPr>
      <w:spacing w:before="120"/>
      <w:contextualSpacing/>
    </w:pPr>
  </w:style>
  <w:style w:type="paragraph" w:styleId="ListBullet2">
    <w:name w:val="List Bullet 2"/>
    <w:basedOn w:val="ListBullet"/>
    <w:uiPriority w:val="99"/>
    <w:semiHidden/>
    <w:rsid w:val="00B241CD"/>
    <w:pPr>
      <w:numPr>
        <w:ilvl w:val="1"/>
      </w:numPr>
    </w:pPr>
  </w:style>
  <w:style w:type="paragraph" w:styleId="ListBullet3">
    <w:name w:val="List Bullet 3"/>
    <w:basedOn w:val="ListBullet2"/>
    <w:uiPriority w:val="99"/>
    <w:semiHidden/>
    <w:rsid w:val="00B241CD"/>
    <w:pPr>
      <w:numPr>
        <w:ilvl w:val="2"/>
      </w:numPr>
    </w:pPr>
  </w:style>
  <w:style w:type="paragraph" w:styleId="ListNumber">
    <w:name w:val="List Number"/>
    <w:basedOn w:val="BodyText"/>
    <w:uiPriority w:val="99"/>
    <w:qFormat/>
    <w:rsid w:val="00B241CD"/>
    <w:pPr>
      <w:numPr>
        <w:numId w:val="6"/>
      </w:numPr>
      <w:contextualSpacing/>
    </w:pPr>
  </w:style>
  <w:style w:type="paragraph" w:styleId="ListNumber2">
    <w:name w:val="List Number 2"/>
    <w:basedOn w:val="ListNumber"/>
    <w:uiPriority w:val="99"/>
    <w:qFormat/>
    <w:rsid w:val="00B241CD"/>
    <w:pPr>
      <w:numPr>
        <w:numId w:val="7"/>
      </w:numPr>
    </w:pPr>
  </w:style>
  <w:style w:type="paragraph" w:styleId="ListNumber3">
    <w:name w:val="List Number 3"/>
    <w:basedOn w:val="List2"/>
    <w:uiPriority w:val="99"/>
    <w:qFormat/>
    <w:rsid w:val="00B241CD"/>
    <w:pPr>
      <w:numPr>
        <w:numId w:val="8"/>
      </w:numPr>
    </w:pPr>
  </w:style>
  <w:style w:type="table" w:customStyle="1" w:styleId="MainTableStyle">
    <w:name w:val="Main Table Style"/>
    <w:basedOn w:val="TableNormal"/>
    <w:uiPriority w:val="99"/>
    <w:rsid w:val="00744D09"/>
    <w:pPr>
      <w:spacing w:after="0" w:line="240" w:lineRule="auto"/>
    </w:pPr>
    <w:rPr>
      <w:kern w:val="0"/>
      <w:sz w:val="20"/>
      <w:szCs w:val="22"/>
      <w14:ligatures w14:val="none"/>
    </w:rPr>
    <w:tblPr>
      <w:tblBorders>
        <w:top w:val="single" w:sz="2" w:space="0" w:color="A6A6A6" w:themeColor="background1" w:themeShade="A6"/>
        <w:bottom w:val="single" w:sz="2" w:space="0" w:color="A6A6A6" w:themeColor="background1" w:themeShade="A6"/>
        <w:insideH w:val="single" w:sz="2" w:space="0" w:color="A6A6A6" w:themeColor="background1" w:themeShade="A6"/>
        <w:insideV w:val="single" w:sz="2" w:space="0" w:color="A6A6A6" w:themeColor="background1" w:themeShade="A6"/>
      </w:tblBorders>
    </w:tblPr>
    <w:tblStylePr w:type="firstRow">
      <w:pPr>
        <w:keepNext/>
        <w:keepLines/>
        <w:widowControl/>
        <w:wordWrap/>
        <w:jc w:val="left"/>
      </w:pPr>
      <w:rPr>
        <w:b w:val="0"/>
        <w:color w:val="auto"/>
      </w:rPr>
      <w:tblPr/>
      <w:tcPr>
        <w:shd w:val="clear" w:color="auto" w:fill="850024" w:themeFill="text2"/>
      </w:tcPr>
    </w:tblStylePr>
    <w:tblStylePr w:type="lastRow">
      <w:pPr>
        <w:keepLines/>
        <w:widowControl/>
        <w:wordWrap/>
        <w:jc w:val="left"/>
      </w:pPr>
      <w:rPr>
        <w:b/>
      </w:rPr>
      <w:tblPr/>
      <w:tcPr>
        <w:tcBorders>
          <w:top w:val="single" w:sz="2" w:space="0" w:color="A6A6A6" w:themeColor="background1" w:themeShade="A6"/>
          <w:left w:val="nil"/>
          <w:bottom w:val="single" w:sz="2" w:space="0" w:color="A6A6A6" w:themeColor="background1" w:themeShade="A6"/>
          <w:right w:val="nil"/>
          <w:insideH w:val="nil"/>
          <w:insideV w:val="single" w:sz="2" w:space="0" w:color="A6A6A6" w:themeColor="background1" w:themeShade="A6"/>
          <w:tl2br w:val="nil"/>
          <w:tr2bl w:val="nil"/>
        </w:tcBorders>
      </w:tcPr>
    </w:tblStylePr>
    <w:tblStylePr w:type="firstCol">
      <w:tblPr/>
      <w:tcPr>
        <w:tcBorders>
          <w:top w:val="single" w:sz="2" w:space="0" w:color="A6A6A6" w:themeColor="background1" w:themeShade="A6"/>
          <w:left w:val="nil"/>
          <w:bottom w:val="single" w:sz="2" w:space="0" w:color="A6A6A6" w:themeColor="background1" w:themeShade="A6"/>
          <w:right w:val="nil"/>
          <w:insideH w:val="single" w:sz="4" w:space="0" w:color="A6A6A6" w:themeColor="background1" w:themeShade="A6"/>
          <w:insideV w:val="nil"/>
          <w:tl2br w:val="nil"/>
          <w:tr2bl w:val="nil"/>
        </w:tcBorders>
      </w:tcPr>
    </w:tblStylePr>
  </w:style>
  <w:style w:type="paragraph" w:customStyle="1" w:styleId="Object">
    <w:name w:val="Object"/>
    <w:basedOn w:val="BodyText"/>
    <w:next w:val="Normal"/>
    <w:uiPriority w:val="99"/>
    <w:qFormat/>
    <w:rsid w:val="00B241CD"/>
    <w:pPr>
      <w:keepNext/>
      <w:spacing w:after="240" w:line="240" w:lineRule="auto"/>
    </w:pPr>
    <w:rPr>
      <w:color w:val="000000" w:themeColor="text1"/>
    </w:rPr>
  </w:style>
  <w:style w:type="character" w:styleId="PageNumber">
    <w:name w:val="page number"/>
    <w:basedOn w:val="DefaultParagraphFont"/>
    <w:uiPriority w:val="99"/>
    <w:semiHidden/>
    <w:rsid w:val="00B241CD"/>
  </w:style>
  <w:style w:type="character" w:styleId="PlaceholderText">
    <w:name w:val="Placeholder Text"/>
    <w:basedOn w:val="DefaultParagraphFont"/>
    <w:uiPriority w:val="99"/>
    <w:rsid w:val="00B241CD"/>
    <w:rPr>
      <w:vanish w:val="0"/>
      <w:color w:val="7F7F7F" w:themeColor="text1" w:themeTint="80"/>
    </w:rPr>
  </w:style>
  <w:style w:type="paragraph" w:styleId="Quote">
    <w:name w:val="Quote"/>
    <w:basedOn w:val="BodyText"/>
    <w:next w:val="BodyText"/>
    <w:link w:val="QuoteChar"/>
    <w:uiPriority w:val="99"/>
    <w:qFormat/>
    <w:rsid w:val="00B241CD"/>
    <w:pPr>
      <w:pBdr>
        <w:left w:val="single" w:sz="12" w:space="3" w:color="B5C1B8" w:themeColor="accent1"/>
      </w:pBdr>
      <w:spacing w:before="0" w:after="0" w:line="240" w:lineRule="auto"/>
      <w:ind w:left="567" w:right="567"/>
    </w:pPr>
    <w:rPr>
      <w:i/>
      <w:iCs/>
      <w:color w:val="B5C1B8" w:themeColor="accent1"/>
      <w:sz w:val="24"/>
    </w:rPr>
  </w:style>
  <w:style w:type="character" w:customStyle="1" w:styleId="QuoteChar">
    <w:name w:val="Quote Char"/>
    <w:basedOn w:val="DefaultParagraphFont"/>
    <w:link w:val="Quote"/>
    <w:uiPriority w:val="99"/>
    <w:rsid w:val="00B241CD"/>
    <w:rPr>
      <w:i/>
      <w:iCs/>
      <w:color w:val="B5C1B8" w:themeColor="accent1"/>
      <w:kern w:val="0"/>
      <w:szCs w:val="22"/>
      <w14:ligatures w14:val="none"/>
    </w:rPr>
  </w:style>
  <w:style w:type="paragraph" w:styleId="Signature">
    <w:name w:val="Signature"/>
    <w:basedOn w:val="BodyText"/>
    <w:next w:val="BodyTextSingleSpacing"/>
    <w:link w:val="SignatureChar"/>
    <w:uiPriority w:val="99"/>
    <w:semiHidden/>
    <w:rsid w:val="00B241CD"/>
    <w:pPr>
      <w:keepNext/>
      <w:spacing w:before="360" w:after="360"/>
    </w:pPr>
  </w:style>
  <w:style w:type="character" w:customStyle="1" w:styleId="SignatureChar">
    <w:name w:val="Signature Char"/>
    <w:basedOn w:val="DefaultParagraphFont"/>
    <w:link w:val="Signature"/>
    <w:uiPriority w:val="99"/>
    <w:semiHidden/>
    <w:rsid w:val="00B241CD"/>
    <w:rPr>
      <w:kern w:val="0"/>
      <w:sz w:val="20"/>
      <w:szCs w:val="22"/>
      <w14:ligatures w14:val="none"/>
    </w:rPr>
  </w:style>
  <w:style w:type="paragraph" w:customStyle="1" w:styleId="Source">
    <w:name w:val="Source"/>
    <w:basedOn w:val="Object"/>
    <w:next w:val="BodyText"/>
    <w:uiPriority w:val="9"/>
    <w:semiHidden/>
    <w:qFormat/>
    <w:rsid w:val="00B241CD"/>
    <w:pPr>
      <w:keepNext w:val="0"/>
      <w:keepLines w:val="0"/>
      <w:spacing w:before="120"/>
    </w:pPr>
    <w:rPr>
      <w:color w:val="808080" w:themeColor="background1" w:themeShade="80"/>
      <w:sz w:val="18"/>
      <w:szCs w:val="18"/>
    </w:rPr>
  </w:style>
  <w:style w:type="paragraph" w:customStyle="1" w:styleId="Spacer">
    <w:name w:val="Spacer"/>
    <w:basedOn w:val="BodyTextSingleSpacing"/>
    <w:uiPriority w:val="99"/>
    <w:qFormat/>
    <w:rsid w:val="00B241CD"/>
  </w:style>
  <w:style w:type="paragraph" w:customStyle="1" w:styleId="SubjectLine">
    <w:name w:val="Subject Line"/>
    <w:basedOn w:val="BodyText"/>
    <w:next w:val="BodyText"/>
    <w:semiHidden/>
    <w:rsid w:val="00B241CD"/>
    <w:rPr>
      <w:b/>
      <w:caps/>
    </w:rPr>
  </w:style>
  <w:style w:type="paragraph" w:customStyle="1" w:styleId="TableBullet1">
    <w:name w:val="Table Bullet 1"/>
    <w:basedOn w:val="TableText"/>
    <w:uiPriority w:val="7"/>
    <w:qFormat/>
    <w:rsid w:val="00B241CD"/>
    <w:pPr>
      <w:numPr>
        <w:numId w:val="9"/>
      </w:numPr>
    </w:pPr>
  </w:style>
  <w:style w:type="paragraph" w:customStyle="1" w:styleId="TableBullet2">
    <w:name w:val="Table Bullet 2"/>
    <w:basedOn w:val="TableBullet1"/>
    <w:uiPriority w:val="7"/>
    <w:qFormat/>
    <w:rsid w:val="00B241CD"/>
    <w:pPr>
      <w:numPr>
        <w:ilvl w:val="1"/>
      </w:numPr>
      <w:ind w:left="1021" w:hanging="1021"/>
    </w:pPr>
  </w:style>
  <w:style w:type="paragraph" w:customStyle="1" w:styleId="TableBullet3">
    <w:name w:val="Table Bullet 3"/>
    <w:basedOn w:val="TableBullet2"/>
    <w:uiPriority w:val="7"/>
    <w:qFormat/>
    <w:rsid w:val="00B241CD"/>
    <w:pPr>
      <w:numPr>
        <w:ilvl w:val="2"/>
      </w:numPr>
      <w:ind w:left="1588" w:hanging="1588"/>
    </w:pPr>
  </w:style>
  <w:style w:type="table" w:customStyle="1" w:styleId="TableCaseStudy">
    <w:name w:val="Table Case Study"/>
    <w:basedOn w:val="TableNormal"/>
    <w:uiPriority w:val="99"/>
    <w:rsid w:val="00744D09"/>
    <w:pPr>
      <w:spacing w:after="0" w:line="240" w:lineRule="auto"/>
    </w:pPr>
    <w:rPr>
      <w:kern w:val="0"/>
      <w:sz w:val="18"/>
      <w:szCs w:val="22"/>
      <w14:ligatures w14:val="none"/>
    </w:rPr>
    <w:tblPr>
      <w:tblBorders>
        <w:top w:val="single" w:sz="6" w:space="0" w:color="BFBFBF" w:themeColor="background1" w:themeShade="BF"/>
        <w:bottom w:val="single" w:sz="6" w:space="0" w:color="BFBFBF" w:themeColor="background1" w:themeShade="BF"/>
        <w:insideH w:val="single" w:sz="6" w:space="0" w:color="BFBFBF" w:themeColor="background1" w:themeShade="BF"/>
        <w:insideV w:val="single" w:sz="6" w:space="0" w:color="BFBFBF" w:themeColor="background1" w:themeShade="BF"/>
      </w:tblBorders>
    </w:tblPr>
    <w:tcPr>
      <w:shd w:val="clear" w:color="auto" w:fill="FFFFFF" w:themeFill="background1"/>
    </w:tcPr>
    <w:tblStylePr w:type="firstRow">
      <w:rPr>
        <w:color w:val="FFFFFF" w:themeColor="background1"/>
      </w:rPr>
      <w:tblPr/>
      <w:tcPr>
        <w:shd w:val="clear" w:color="auto" w:fill="B5C1B8" w:themeFill="accent1"/>
      </w:tcPr>
    </w:tblStylePr>
    <w:tblStylePr w:type="lastRow">
      <w:rPr>
        <w:b/>
      </w:rPr>
    </w:tblStylePr>
    <w:tblStylePr w:type="firstCol">
      <w:tblPr/>
      <w:tcPr>
        <w:shd w:val="clear" w:color="auto" w:fill="FFFFFF" w:themeFill="background1"/>
      </w:tcPr>
    </w:tblStylePr>
    <w:tblStylePr w:type="nwCell">
      <w:rPr>
        <w:color w:val="DAB3BD" w:themeColor="background2"/>
      </w:rPr>
      <w:tblPr/>
      <w:tcPr>
        <w:shd w:val="clear" w:color="auto" w:fill="B5C1B8" w:themeFill="accent1"/>
      </w:tcPr>
    </w:tblStylePr>
  </w:style>
  <w:style w:type="table" w:styleId="TableGrid">
    <w:name w:val="Table Grid"/>
    <w:basedOn w:val="TableNormal"/>
    <w:rsid w:val="00B241C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44D09"/>
    <w:pPr>
      <w:spacing w:after="0" w:line="240" w:lineRule="auto"/>
    </w:pPr>
    <w:rPr>
      <w:kern w:val="0"/>
      <w:sz w:val="22"/>
      <w:szCs w:val="22"/>
      <w14:ligatures w14:val="none"/>
    </w:rPr>
    <w:tblPr>
      <w:tblBorders>
        <w:insideH w:val="single" w:sz="6" w:space="0" w:color="BFBFBF" w:themeColor="background1" w:themeShade="BF"/>
        <w:insideV w:val="single" w:sz="6" w:space="0" w:color="BFBFBF" w:themeColor="background1" w:themeShade="BF"/>
      </w:tblBorders>
    </w:tblPr>
    <w:tblStylePr w:type="firstRow">
      <w:tblPr/>
      <w:tcPr>
        <w:shd w:val="clear" w:color="auto" w:fill="F05545" w:themeFill="accent2"/>
      </w:tcPr>
    </w:tblStylePr>
    <w:tblStylePr w:type="lastRow">
      <w:rPr>
        <w:b/>
      </w:rPr>
    </w:tblStylePr>
  </w:style>
  <w:style w:type="paragraph" w:customStyle="1" w:styleId="TableHeader">
    <w:name w:val="Table Header"/>
    <w:basedOn w:val="TableText"/>
    <w:next w:val="TableText"/>
    <w:uiPriority w:val="99"/>
    <w:semiHidden/>
    <w:qFormat/>
    <w:rsid w:val="00B241CD"/>
    <w:pPr>
      <w:keepNext/>
    </w:pPr>
    <w:rPr>
      <w:color w:val="DAB3BD" w:themeColor="accent3"/>
    </w:rPr>
  </w:style>
  <w:style w:type="paragraph" w:customStyle="1" w:styleId="TableHeading">
    <w:name w:val="Table Heading"/>
    <w:basedOn w:val="TableText"/>
    <w:next w:val="TableText"/>
    <w:uiPriority w:val="16"/>
    <w:semiHidden/>
    <w:qFormat/>
    <w:rsid w:val="00B241CD"/>
    <w:pPr>
      <w:pBdr>
        <w:bottom w:val="single" w:sz="2" w:space="1" w:color="auto"/>
      </w:pBdr>
      <w:jc w:val="center"/>
    </w:pPr>
    <w:rPr>
      <w:color w:val="DAB3BD" w:themeColor="accent3"/>
    </w:rPr>
  </w:style>
  <w:style w:type="paragraph" w:customStyle="1" w:styleId="TableHeadingWhiteFont">
    <w:name w:val="Table Heading White Font"/>
    <w:basedOn w:val="TableText"/>
    <w:uiPriority w:val="16"/>
    <w:qFormat/>
    <w:rsid w:val="00B241CD"/>
    <w:rPr>
      <w:color w:val="FFFFFF" w:themeColor="background1"/>
    </w:rPr>
  </w:style>
  <w:style w:type="paragraph" w:customStyle="1" w:styleId="TableIndent1">
    <w:name w:val="Table Indent 1"/>
    <w:basedOn w:val="TableBullet1"/>
    <w:uiPriority w:val="9"/>
    <w:qFormat/>
    <w:rsid w:val="00B241CD"/>
    <w:pPr>
      <w:numPr>
        <w:numId w:val="0"/>
      </w:numPr>
      <w:ind w:left="340"/>
    </w:pPr>
  </w:style>
  <w:style w:type="paragraph" w:customStyle="1" w:styleId="TableIndent2">
    <w:name w:val="Table Indent 2"/>
    <w:basedOn w:val="TableBullet2"/>
    <w:uiPriority w:val="9"/>
    <w:qFormat/>
    <w:rsid w:val="00B241CD"/>
    <w:pPr>
      <w:numPr>
        <w:ilvl w:val="0"/>
        <w:numId w:val="0"/>
      </w:numPr>
      <w:ind w:left="680"/>
    </w:pPr>
  </w:style>
  <w:style w:type="paragraph" w:customStyle="1" w:styleId="TableIndent3">
    <w:name w:val="Table Indent 3"/>
    <w:basedOn w:val="TableBullet3"/>
    <w:uiPriority w:val="9"/>
    <w:qFormat/>
    <w:rsid w:val="00B241CD"/>
    <w:pPr>
      <w:numPr>
        <w:ilvl w:val="0"/>
        <w:numId w:val="0"/>
      </w:numPr>
      <w:ind w:left="1021"/>
    </w:pPr>
  </w:style>
  <w:style w:type="paragraph" w:customStyle="1" w:styleId="TableNumbering1">
    <w:name w:val="Table Numbering 1"/>
    <w:basedOn w:val="TableBullet1"/>
    <w:uiPriority w:val="8"/>
    <w:qFormat/>
    <w:rsid w:val="00B241CD"/>
    <w:pPr>
      <w:numPr>
        <w:numId w:val="11"/>
      </w:numPr>
    </w:pPr>
  </w:style>
  <w:style w:type="paragraph" w:customStyle="1" w:styleId="TableNumbering2">
    <w:name w:val="Table Numbering 2"/>
    <w:basedOn w:val="TableNumbering1"/>
    <w:uiPriority w:val="8"/>
    <w:qFormat/>
    <w:rsid w:val="00B241CD"/>
    <w:pPr>
      <w:numPr>
        <w:ilvl w:val="1"/>
      </w:numPr>
    </w:pPr>
  </w:style>
  <w:style w:type="paragraph" w:customStyle="1" w:styleId="TableNumbering3">
    <w:name w:val="Table Numbering 3"/>
    <w:basedOn w:val="TableNumbering2"/>
    <w:uiPriority w:val="8"/>
    <w:qFormat/>
    <w:rsid w:val="00B241CD"/>
    <w:pPr>
      <w:numPr>
        <w:ilvl w:val="2"/>
      </w:numPr>
    </w:pPr>
  </w:style>
  <w:style w:type="paragraph" w:styleId="TOC1">
    <w:name w:val="toc 1"/>
    <w:basedOn w:val="Normal"/>
    <w:next w:val="BodyText"/>
    <w:uiPriority w:val="39"/>
    <w:rsid w:val="00B241CD"/>
    <w:pPr>
      <w:keepLines/>
      <w:tabs>
        <w:tab w:val="right" w:leader="dot" w:pos="9327"/>
      </w:tabs>
      <w:spacing w:after="60"/>
      <w:ind w:left="340" w:right="851" w:hanging="340"/>
    </w:pPr>
    <w:rPr>
      <w:b/>
      <w:noProof/>
    </w:rPr>
  </w:style>
  <w:style w:type="paragraph" w:styleId="TableofFigures">
    <w:name w:val="table of figures"/>
    <w:basedOn w:val="TOC1"/>
    <w:next w:val="BodyText"/>
    <w:uiPriority w:val="99"/>
    <w:rsid w:val="00B241CD"/>
    <w:pPr>
      <w:spacing w:before="60"/>
      <w:ind w:left="1134" w:hanging="1134"/>
    </w:pPr>
    <w:rPr>
      <w:color w:val="000000" w:themeColor="text1"/>
    </w:rPr>
  </w:style>
  <w:style w:type="paragraph" w:styleId="TableofAuthorities">
    <w:name w:val="table of authorities"/>
    <w:basedOn w:val="TableofFigures"/>
    <w:next w:val="BodyText"/>
    <w:uiPriority w:val="99"/>
    <w:semiHidden/>
    <w:rsid w:val="00B241CD"/>
  </w:style>
  <w:style w:type="paragraph" w:styleId="TOC2">
    <w:name w:val="toc 2"/>
    <w:basedOn w:val="TOC1"/>
    <w:next w:val="BodyText"/>
    <w:uiPriority w:val="39"/>
    <w:rsid w:val="00B241CD"/>
    <w:pPr>
      <w:tabs>
        <w:tab w:val="left" w:pos="851"/>
      </w:tabs>
      <w:spacing w:before="60"/>
      <w:ind w:left="850" w:hanging="510"/>
    </w:pPr>
    <w:rPr>
      <w:b w:val="0"/>
    </w:rPr>
  </w:style>
  <w:style w:type="paragraph" w:styleId="TOC3">
    <w:name w:val="toc 3"/>
    <w:basedOn w:val="TOC2"/>
    <w:next w:val="BodyText"/>
    <w:uiPriority w:val="39"/>
    <w:rsid w:val="00B241CD"/>
    <w:pPr>
      <w:tabs>
        <w:tab w:val="clear" w:pos="851"/>
        <w:tab w:val="left" w:pos="1531"/>
      </w:tabs>
      <w:ind w:left="1531" w:hanging="680"/>
    </w:pPr>
  </w:style>
  <w:style w:type="paragraph" w:styleId="TOC4">
    <w:name w:val="toc 4"/>
    <w:basedOn w:val="TOC1"/>
    <w:next w:val="BodyText"/>
    <w:uiPriority w:val="99"/>
    <w:semiHidden/>
    <w:rsid w:val="00B241CD"/>
    <w:pPr>
      <w:spacing w:after="240"/>
      <w:ind w:left="0" w:firstLine="0"/>
    </w:pPr>
    <w:rPr>
      <w:b w:val="0"/>
    </w:rPr>
  </w:style>
  <w:style w:type="paragraph" w:styleId="TOC5">
    <w:name w:val="toc 5"/>
    <w:basedOn w:val="TOC2"/>
    <w:next w:val="BodyText"/>
    <w:uiPriority w:val="39"/>
    <w:semiHidden/>
    <w:rsid w:val="00B241CD"/>
  </w:style>
  <w:style w:type="paragraph" w:styleId="TOC6">
    <w:name w:val="toc 6"/>
    <w:basedOn w:val="TOC3"/>
    <w:next w:val="BodyText"/>
    <w:uiPriority w:val="99"/>
    <w:semiHidden/>
    <w:rsid w:val="00B241CD"/>
  </w:style>
  <w:style w:type="paragraph" w:styleId="TOC7">
    <w:name w:val="toc 7"/>
    <w:basedOn w:val="TOC1"/>
    <w:next w:val="BodyText"/>
    <w:uiPriority w:val="39"/>
    <w:semiHidden/>
    <w:rsid w:val="00B241CD"/>
    <w:pPr>
      <w:ind w:left="1418" w:hanging="1418"/>
    </w:pPr>
  </w:style>
  <w:style w:type="paragraph" w:styleId="TOC8">
    <w:name w:val="toc 8"/>
    <w:basedOn w:val="TOC2"/>
    <w:next w:val="BodyText"/>
    <w:uiPriority w:val="39"/>
    <w:semiHidden/>
    <w:rsid w:val="00B241CD"/>
    <w:pPr>
      <w:tabs>
        <w:tab w:val="clear" w:pos="851"/>
      </w:tabs>
      <w:ind w:left="1418" w:hanging="1418"/>
    </w:pPr>
  </w:style>
  <w:style w:type="paragraph" w:styleId="TOC9">
    <w:name w:val="toc 9"/>
    <w:basedOn w:val="TOC3"/>
    <w:next w:val="BodyText"/>
    <w:uiPriority w:val="39"/>
    <w:semiHidden/>
    <w:rsid w:val="00B241CD"/>
    <w:pPr>
      <w:tabs>
        <w:tab w:val="clear" w:pos="1531"/>
      </w:tabs>
      <w:ind w:left="1418" w:hanging="1418"/>
    </w:pPr>
  </w:style>
  <w:style w:type="paragraph" w:styleId="TOCHeading">
    <w:name w:val="TOC Heading"/>
    <w:basedOn w:val="Heading1NoNumber"/>
    <w:next w:val="BodyText"/>
    <w:uiPriority w:val="99"/>
    <w:semiHidden/>
    <w:qFormat/>
    <w:rsid w:val="00A73694"/>
    <w:pPr>
      <w:pageBreakBefore/>
      <w:outlineLvl w:val="9"/>
    </w:pPr>
  </w:style>
  <w:style w:type="character" w:styleId="UnresolvedMention">
    <w:name w:val="Unresolved Mention"/>
    <w:basedOn w:val="DefaultParagraphFont"/>
    <w:uiPriority w:val="99"/>
    <w:semiHidden/>
    <w:rsid w:val="00B241CD"/>
    <w:rPr>
      <w:color w:val="605E5C"/>
      <w:shd w:val="clear" w:color="auto" w:fill="E1DFDD"/>
    </w:rPr>
  </w:style>
  <w:style w:type="paragraph" w:customStyle="1" w:styleId="Yourssincerely">
    <w:name w:val="Yours sincerely"/>
    <w:basedOn w:val="BodyText"/>
    <w:next w:val="Signature"/>
    <w:uiPriority w:val="99"/>
    <w:semiHidden/>
    <w:rsid w:val="00B241CD"/>
    <w:pPr>
      <w:keepNext/>
    </w:pPr>
  </w:style>
  <w:style w:type="paragraph" w:styleId="Title">
    <w:name w:val="Title"/>
    <w:basedOn w:val="Normal"/>
    <w:next w:val="Normal"/>
    <w:link w:val="TitleChar"/>
    <w:uiPriority w:val="10"/>
    <w:qFormat/>
    <w:rsid w:val="00624FEC"/>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FEC"/>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24F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FEC"/>
    <w:rPr>
      <w:rFonts w:eastAsiaTheme="majorEastAsia" w:cstheme="majorBidi"/>
      <w:color w:val="595959" w:themeColor="text1" w:themeTint="A6"/>
      <w:spacing w:val="15"/>
      <w:kern w:val="0"/>
      <w:sz w:val="28"/>
      <w:szCs w:val="28"/>
      <w14:ligatures w14:val="none"/>
    </w:rPr>
  </w:style>
  <w:style w:type="paragraph" w:styleId="ListParagraph">
    <w:name w:val="List Paragraph"/>
    <w:aliases w:val="Body Text Numbered,Bullet 1,Bullet List,Bullet Style,Bullet body,Colorful List - Accent 11,F5 List Paragraph,FooterText,List 1 Paragraph,List Paragraph1,Normal numbered,Numbered Lists,OBC Bullet,Paragraphe de liste1,Sub heading txt,b1,new"/>
    <w:basedOn w:val="Normal"/>
    <w:link w:val="ListParagraphChar"/>
    <w:uiPriority w:val="34"/>
    <w:qFormat/>
    <w:rsid w:val="00624FEC"/>
    <w:pPr>
      <w:ind w:left="720"/>
      <w:contextualSpacing/>
    </w:pPr>
  </w:style>
  <w:style w:type="character" w:styleId="IntenseEmphasis">
    <w:name w:val="Intense Emphasis"/>
    <w:basedOn w:val="DefaultParagraphFont"/>
    <w:uiPriority w:val="21"/>
    <w:qFormat/>
    <w:rsid w:val="00624FEC"/>
    <w:rPr>
      <w:i/>
      <w:iCs/>
      <w:color w:val="819686" w:themeColor="accent1" w:themeShade="BF"/>
    </w:rPr>
  </w:style>
  <w:style w:type="paragraph" w:styleId="IntenseQuote">
    <w:name w:val="Intense Quote"/>
    <w:basedOn w:val="Normal"/>
    <w:next w:val="Normal"/>
    <w:link w:val="IntenseQuoteChar"/>
    <w:uiPriority w:val="30"/>
    <w:qFormat/>
    <w:rsid w:val="00624FEC"/>
    <w:pPr>
      <w:pBdr>
        <w:top w:val="single" w:sz="4" w:space="10" w:color="819686" w:themeColor="accent1" w:themeShade="BF"/>
        <w:bottom w:val="single" w:sz="4" w:space="10" w:color="819686" w:themeColor="accent1" w:themeShade="BF"/>
      </w:pBdr>
      <w:spacing w:before="360" w:after="360"/>
      <w:ind w:left="864" w:right="864"/>
      <w:jc w:val="center"/>
    </w:pPr>
    <w:rPr>
      <w:i/>
      <w:iCs/>
      <w:color w:val="819686" w:themeColor="accent1" w:themeShade="BF"/>
    </w:rPr>
  </w:style>
  <w:style w:type="character" w:customStyle="1" w:styleId="IntenseQuoteChar">
    <w:name w:val="Intense Quote Char"/>
    <w:basedOn w:val="DefaultParagraphFont"/>
    <w:link w:val="IntenseQuote"/>
    <w:uiPriority w:val="30"/>
    <w:rsid w:val="00624FEC"/>
    <w:rPr>
      <w:i/>
      <w:iCs/>
      <w:color w:val="819686" w:themeColor="accent1" w:themeShade="BF"/>
      <w:kern w:val="0"/>
      <w:sz w:val="20"/>
      <w:szCs w:val="22"/>
      <w14:ligatures w14:val="none"/>
    </w:rPr>
  </w:style>
  <w:style w:type="character" w:styleId="IntenseReference">
    <w:name w:val="Intense Reference"/>
    <w:basedOn w:val="DefaultParagraphFont"/>
    <w:uiPriority w:val="32"/>
    <w:qFormat/>
    <w:rsid w:val="00624FEC"/>
    <w:rPr>
      <w:b/>
      <w:bCs/>
      <w:smallCaps/>
      <w:color w:val="819686" w:themeColor="accent1" w:themeShade="BF"/>
      <w:spacing w:val="5"/>
    </w:rPr>
  </w:style>
  <w:style w:type="character" w:customStyle="1" w:styleId="CharacterStyle-BrightColour">
    <w:name w:val="Character Style - Bright Colour"/>
    <w:uiPriority w:val="12"/>
    <w:semiHidden/>
    <w:qFormat/>
    <w:rsid w:val="00196F59"/>
    <w:rPr>
      <w:color w:val="B5C1B8" w:themeColor="accent1"/>
    </w:rPr>
  </w:style>
  <w:style w:type="paragraph" w:customStyle="1" w:styleId="RevCov">
    <w:name w:val="RevCov"/>
    <w:basedOn w:val="TableText"/>
    <w:uiPriority w:val="11"/>
    <w:semiHidden/>
    <w:qFormat/>
    <w:rsid w:val="00196F59"/>
    <w:pPr>
      <w:keepLines w:val="0"/>
      <w:numPr>
        <w:numId w:val="0"/>
      </w:numPr>
    </w:pPr>
  </w:style>
  <w:style w:type="paragraph" w:customStyle="1" w:styleId="CoverDocApproval">
    <w:name w:val="Cover Doc Approval"/>
    <w:basedOn w:val="Normal"/>
    <w:uiPriority w:val="11"/>
    <w:qFormat/>
    <w:rsid w:val="00196F59"/>
    <w:pPr>
      <w:keepLines/>
      <w:spacing w:before="1200" w:line="240" w:lineRule="auto"/>
    </w:pPr>
    <w:rPr>
      <w:rFonts w:ascii="Arial" w:hAnsi="Arial"/>
      <w:b/>
    </w:rPr>
  </w:style>
  <w:style w:type="table" w:styleId="PlainTable2">
    <w:name w:val="Plain Table 2"/>
    <w:basedOn w:val="TableNormal"/>
    <w:uiPriority w:val="42"/>
    <w:rsid w:val="00196F59"/>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over-Date-Table">
    <w:name w:val="Cover - Date - Table"/>
    <w:basedOn w:val="TableText"/>
    <w:uiPriority w:val="99"/>
    <w:semiHidden/>
    <w:qFormat/>
    <w:rsid w:val="00196F59"/>
    <w:pPr>
      <w:keepLines w:val="0"/>
      <w:numPr>
        <w:numId w:val="0"/>
      </w:numPr>
      <w:ind w:left="340" w:hanging="340"/>
    </w:pPr>
  </w:style>
  <w:style w:type="paragraph" w:customStyle="1" w:styleId="StyleCover1-LogoBefore24ptAfter84pt">
    <w:name w:val="Style Cover 1 - Logo + Before:  24 pt After:  84 pt"/>
    <w:basedOn w:val="Normal"/>
    <w:rsid w:val="00196F59"/>
    <w:pPr>
      <w:keepLines/>
      <w:spacing w:before="480" w:after="1080"/>
    </w:pPr>
    <w:rPr>
      <w:rFonts w:asciiTheme="majorHAnsi" w:eastAsia="Times New Roman" w:hAnsiTheme="majorHAnsi" w:cs="Times New Roman"/>
      <w:color w:val="FFFFFF" w:themeColor="background1"/>
      <w:szCs w:val="20"/>
    </w:rPr>
  </w:style>
  <w:style w:type="table" w:styleId="PlainTable1">
    <w:name w:val="Plain Table 1"/>
    <w:basedOn w:val="TableNormal"/>
    <w:uiPriority w:val="41"/>
    <w:rsid w:val="00E2033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HHSbody">
    <w:name w:val="DHHS body"/>
    <w:link w:val="DHHSbodyChar"/>
    <w:uiPriority w:val="99"/>
    <w:qFormat/>
    <w:rsid w:val="00DD7235"/>
    <w:pPr>
      <w:spacing w:after="120" w:line="270" w:lineRule="atLeast"/>
    </w:pPr>
    <w:rPr>
      <w:rFonts w:eastAsia="Times" w:cs="Times New Roman"/>
      <w:kern w:val="0"/>
      <w:sz w:val="20"/>
      <w:szCs w:val="20"/>
      <w14:ligatures w14:val="none"/>
    </w:rPr>
  </w:style>
  <w:style w:type="character" w:customStyle="1" w:styleId="DHHSbodyChar">
    <w:name w:val="DHHS body Char"/>
    <w:link w:val="DHHSbody"/>
    <w:uiPriority w:val="99"/>
    <w:locked/>
    <w:rsid w:val="00DD7235"/>
    <w:rPr>
      <w:rFonts w:eastAsia="Times" w:cs="Times New Roman"/>
      <w:kern w:val="0"/>
      <w:sz w:val="20"/>
      <w:szCs w:val="20"/>
      <w14:ligatures w14:val="none"/>
    </w:rPr>
  </w:style>
  <w:style w:type="character" w:styleId="CommentReference">
    <w:name w:val="annotation reference"/>
    <w:basedOn w:val="DefaultParagraphFont"/>
    <w:uiPriority w:val="99"/>
    <w:semiHidden/>
    <w:unhideWhenUsed/>
    <w:rsid w:val="00DD7235"/>
    <w:rPr>
      <w:sz w:val="16"/>
      <w:szCs w:val="16"/>
    </w:rPr>
  </w:style>
  <w:style w:type="paragraph" w:styleId="CommentText">
    <w:name w:val="annotation text"/>
    <w:basedOn w:val="Normal"/>
    <w:link w:val="CommentTextChar"/>
    <w:uiPriority w:val="99"/>
    <w:unhideWhenUsed/>
    <w:rsid w:val="00DD7235"/>
    <w:pPr>
      <w:spacing w:before="0" w:after="200" w:line="240" w:lineRule="auto"/>
    </w:pPr>
    <w:rPr>
      <w:rFonts w:ascii="Calibri" w:eastAsia="Calibri" w:hAnsi="Calibri" w:cs="Times New Roman"/>
      <w:szCs w:val="20"/>
    </w:rPr>
  </w:style>
  <w:style w:type="character" w:customStyle="1" w:styleId="CommentTextChar">
    <w:name w:val="Comment Text Char"/>
    <w:basedOn w:val="DefaultParagraphFont"/>
    <w:link w:val="CommentText"/>
    <w:uiPriority w:val="99"/>
    <w:rsid w:val="00DD7235"/>
    <w:rPr>
      <w:rFonts w:ascii="Calibri" w:eastAsia="Calibri" w:hAnsi="Calibri" w:cs="Times New Roman"/>
      <w:kern w:val="0"/>
      <w:sz w:val="20"/>
      <w:szCs w:val="20"/>
      <w14:ligatures w14:val="none"/>
    </w:rPr>
  </w:style>
  <w:style w:type="paragraph" w:customStyle="1" w:styleId="DHHSbullet1">
    <w:name w:val="DHHS bullet 1"/>
    <w:basedOn w:val="DHHSbody"/>
    <w:uiPriority w:val="99"/>
    <w:qFormat/>
    <w:rsid w:val="00DD7235"/>
    <w:pPr>
      <w:spacing w:after="40"/>
    </w:pPr>
    <w:rPr>
      <w:rFonts w:ascii="Arial" w:hAnsi="Arial"/>
    </w:rPr>
  </w:style>
  <w:style w:type="paragraph" w:customStyle="1" w:styleId="VHBAbodyafterbullets">
    <w:name w:val="VHBA body after bullets"/>
    <w:basedOn w:val="Normal"/>
    <w:qFormat/>
    <w:rsid w:val="00DD7235"/>
    <w:pPr>
      <w:spacing w:before="120" w:line="270" w:lineRule="atLeast"/>
    </w:pPr>
    <w:rPr>
      <w:rFonts w:eastAsia="Times" w:cs="Times New Roman"/>
      <w:szCs w:val="20"/>
    </w:rPr>
  </w:style>
  <w:style w:type="numbering" w:customStyle="1" w:styleId="ZZNumbers">
    <w:name w:val="ZZ Numbers"/>
    <w:rsid w:val="00DD7235"/>
    <w:pPr>
      <w:numPr>
        <w:numId w:val="14"/>
      </w:numPr>
    </w:pPr>
  </w:style>
  <w:style w:type="numbering" w:customStyle="1" w:styleId="ZZTablebullets">
    <w:name w:val="ZZ Table bullets"/>
    <w:basedOn w:val="NoList"/>
    <w:rsid w:val="007010F5"/>
    <w:pPr>
      <w:numPr>
        <w:numId w:val="15"/>
      </w:numPr>
    </w:pPr>
  </w:style>
  <w:style w:type="character" w:customStyle="1" w:styleId="ListParagraphChar">
    <w:name w:val="List Paragraph Char"/>
    <w:aliases w:val="Body Text Numbered Char,Bullet 1 Char,Bullet List Char,Bullet Style Char,Bullet body Char,Colorful List - Accent 11 Char,F5 List Paragraph Char,FooterText Char,List 1 Paragraph Char,List Paragraph1 Char,Normal numbered Char,b1 Char"/>
    <w:basedOn w:val="DefaultParagraphFont"/>
    <w:link w:val="ListParagraph"/>
    <w:uiPriority w:val="34"/>
    <w:locked/>
    <w:rsid w:val="00E26B2B"/>
    <w:rPr>
      <w:kern w:val="0"/>
      <w:sz w:val="20"/>
      <w:szCs w:val="22"/>
      <w14:ligatures w14:val="none"/>
    </w:rPr>
  </w:style>
  <w:style w:type="paragraph" w:customStyle="1" w:styleId="VHBAbody">
    <w:name w:val="VHBA body"/>
    <w:link w:val="VHBAbodyChar"/>
    <w:qFormat/>
    <w:rsid w:val="00E26B2B"/>
    <w:pPr>
      <w:spacing w:after="120" w:line="270" w:lineRule="atLeast"/>
    </w:pPr>
    <w:rPr>
      <w:rFonts w:eastAsia="Times" w:cs="Times New Roman"/>
      <w:kern w:val="0"/>
      <w:sz w:val="20"/>
      <w:szCs w:val="20"/>
      <w14:ligatures w14:val="none"/>
    </w:rPr>
  </w:style>
  <w:style w:type="paragraph" w:customStyle="1" w:styleId="VHBAbullet1">
    <w:name w:val="VHBA bullet 1"/>
    <w:basedOn w:val="VHBAbody"/>
    <w:uiPriority w:val="4"/>
    <w:qFormat/>
    <w:rsid w:val="00E26B2B"/>
    <w:pPr>
      <w:numPr>
        <w:numId w:val="18"/>
      </w:numPr>
      <w:spacing w:after="40"/>
      <w:ind w:left="0" w:firstLine="0"/>
    </w:pPr>
  </w:style>
  <w:style w:type="paragraph" w:customStyle="1" w:styleId="VHBAbullet2">
    <w:name w:val="VHBA bullet 2"/>
    <w:basedOn w:val="VHBAbody"/>
    <w:uiPriority w:val="4"/>
    <w:qFormat/>
    <w:rsid w:val="00E26B2B"/>
    <w:pPr>
      <w:numPr>
        <w:ilvl w:val="1"/>
        <w:numId w:val="18"/>
      </w:numPr>
      <w:spacing w:after="40"/>
      <w:ind w:left="0" w:firstLine="0"/>
    </w:pPr>
  </w:style>
  <w:style w:type="numbering" w:customStyle="1" w:styleId="VHBABulletList">
    <w:name w:val="VHBA Bullet List"/>
    <w:rsid w:val="00E26B2B"/>
    <w:pPr>
      <w:numPr>
        <w:numId w:val="17"/>
      </w:numPr>
    </w:pPr>
  </w:style>
  <w:style w:type="character" w:customStyle="1" w:styleId="VHBAbodyChar">
    <w:name w:val="VHBA body Char"/>
    <w:basedOn w:val="DefaultParagraphFont"/>
    <w:link w:val="VHBAbody"/>
    <w:rsid w:val="00E26B2B"/>
    <w:rPr>
      <w:rFonts w:eastAsia="Times" w:cs="Times New Roman"/>
      <w:kern w:val="0"/>
      <w:sz w:val="20"/>
      <w:szCs w:val="20"/>
      <w14:ligatures w14:val="none"/>
    </w:rPr>
  </w:style>
  <w:style w:type="numbering" w:customStyle="1" w:styleId="Numbering">
    <w:name w:val="Numbering"/>
    <w:uiPriority w:val="99"/>
    <w:rsid w:val="00E26B2B"/>
    <w:pPr>
      <w:numPr>
        <w:numId w:val="19"/>
      </w:numPr>
    </w:pPr>
  </w:style>
  <w:style w:type="paragraph" w:styleId="ListNumber4">
    <w:name w:val="List Number 4"/>
    <w:basedOn w:val="Normal"/>
    <w:uiPriority w:val="99"/>
    <w:unhideWhenUsed/>
    <w:qFormat/>
    <w:rsid w:val="00E26B2B"/>
    <w:pPr>
      <w:spacing w:before="120" w:line="240" w:lineRule="auto"/>
      <w:contextualSpacing/>
    </w:pPr>
    <w:rPr>
      <w:sz w:val="22"/>
    </w:rPr>
  </w:style>
  <w:style w:type="paragraph" w:customStyle="1" w:styleId="BCVHHSBAbullet1">
    <w:name w:val="(BC) VHHSBA bullet 1"/>
    <w:basedOn w:val="Normal"/>
    <w:qFormat/>
    <w:rsid w:val="00E26B2B"/>
    <w:pPr>
      <w:numPr>
        <w:numId w:val="20"/>
      </w:numPr>
      <w:spacing w:before="120" w:after="40" w:line="270" w:lineRule="atLeast"/>
    </w:pPr>
    <w:rPr>
      <w:rFonts w:ascii="Arial" w:eastAsia="Times" w:hAnsi="Arial" w:cs="Times New Roman"/>
      <w:szCs w:val="20"/>
    </w:rPr>
  </w:style>
  <w:style w:type="paragraph" w:customStyle="1" w:styleId="DHHSnumberdigit">
    <w:name w:val="DHHS number digit"/>
    <w:basedOn w:val="DHHSbody"/>
    <w:uiPriority w:val="2"/>
    <w:rsid w:val="007247E1"/>
    <w:rPr>
      <w:rFonts w:ascii="Arial" w:hAnsi="Arial"/>
    </w:rPr>
  </w:style>
  <w:style w:type="paragraph" w:customStyle="1" w:styleId="VHBAfigurecaption">
    <w:name w:val="VHBA figure caption"/>
    <w:next w:val="VHBAbody"/>
    <w:qFormat/>
    <w:rsid w:val="001C01F1"/>
    <w:pPr>
      <w:keepNext/>
      <w:keepLines/>
      <w:spacing w:before="240" w:after="120" w:line="240" w:lineRule="auto"/>
    </w:pPr>
    <w:rPr>
      <w:rFonts w:ascii="Arial" w:eastAsia="Times New Roman" w:hAnsi="Arial" w:cs="Times New Roman"/>
      <w:b/>
      <w:kern w:val="0"/>
      <w:sz w:val="20"/>
      <w:szCs w:val="20"/>
      <w14:ligatures w14:val="none"/>
    </w:rPr>
  </w:style>
  <w:style w:type="paragraph" w:customStyle="1" w:styleId="VHBAnumberdigit">
    <w:name w:val="VHBA number digit"/>
    <w:basedOn w:val="VHBAbody"/>
    <w:uiPriority w:val="4"/>
    <w:qFormat/>
    <w:rsid w:val="001C01F1"/>
    <w:pPr>
      <w:numPr>
        <w:numId w:val="25"/>
      </w:numPr>
    </w:pPr>
  </w:style>
  <w:style w:type="paragraph" w:customStyle="1" w:styleId="VHBAbodyaftertablefigure">
    <w:name w:val="VHBA body after table/figure"/>
    <w:basedOn w:val="VHBAbody"/>
    <w:next w:val="VHBAbody"/>
    <w:qFormat/>
    <w:rsid w:val="001C01F1"/>
    <w:pPr>
      <w:spacing w:before="240"/>
    </w:pPr>
  </w:style>
  <w:style w:type="paragraph" w:customStyle="1" w:styleId="VHBAbulletafternumbers1">
    <w:name w:val="VHBA bullet after numbers 1"/>
    <w:basedOn w:val="VHBAbody"/>
    <w:uiPriority w:val="4"/>
    <w:qFormat/>
    <w:rsid w:val="001C01F1"/>
    <w:pPr>
      <w:numPr>
        <w:ilvl w:val="2"/>
        <w:numId w:val="25"/>
      </w:numPr>
    </w:pPr>
  </w:style>
  <w:style w:type="paragraph" w:customStyle="1" w:styleId="VHBAbulletafternumbers2">
    <w:name w:val="VHBA bullet after numbers 2"/>
    <w:basedOn w:val="VHBAbody"/>
    <w:uiPriority w:val="4"/>
    <w:qFormat/>
    <w:rsid w:val="001C01F1"/>
    <w:pPr>
      <w:numPr>
        <w:ilvl w:val="3"/>
        <w:numId w:val="25"/>
      </w:numPr>
    </w:pPr>
  </w:style>
  <w:style w:type="numbering" w:customStyle="1" w:styleId="VHBANumbersdigitlist">
    <w:name w:val="VHBA Numbers digit list"/>
    <w:rsid w:val="001C01F1"/>
    <w:pPr>
      <w:numPr>
        <w:numId w:val="24"/>
      </w:numPr>
    </w:pPr>
  </w:style>
  <w:style w:type="numbering" w:customStyle="1" w:styleId="Numbers">
    <w:name w:val="Numbers"/>
    <w:basedOn w:val="NoList"/>
    <w:uiPriority w:val="99"/>
    <w:rsid w:val="001C01F1"/>
    <w:pPr>
      <w:numPr>
        <w:numId w:val="26"/>
      </w:numPr>
    </w:pPr>
  </w:style>
  <w:style w:type="paragraph" w:customStyle="1" w:styleId="VHBAtabletext">
    <w:name w:val="VHBA table text"/>
    <w:basedOn w:val="VHBAbody"/>
    <w:uiPriority w:val="2"/>
    <w:qFormat/>
    <w:rsid w:val="00CB00FD"/>
  </w:style>
  <w:style w:type="character" w:styleId="Strong">
    <w:name w:val="Strong"/>
    <w:uiPriority w:val="22"/>
    <w:qFormat/>
    <w:rsid w:val="00CB00FD"/>
    <w:rPr>
      <w:b/>
      <w:bCs/>
    </w:rPr>
  </w:style>
  <w:style w:type="paragraph" w:customStyle="1" w:styleId="VHBAtablecolhead">
    <w:name w:val="VHBA table col head"/>
    <w:uiPriority w:val="2"/>
    <w:qFormat/>
    <w:rsid w:val="00CB00FD"/>
    <w:pPr>
      <w:spacing w:before="80" w:after="60" w:line="240" w:lineRule="auto"/>
    </w:pPr>
    <w:rPr>
      <w:rFonts w:eastAsia="Times New Roman" w:cs="Times New Roman"/>
      <w:b/>
      <w:color w:val="FFFFFF"/>
      <w:kern w:val="0"/>
      <w:sz w:val="20"/>
      <w:szCs w:val="20"/>
      <w14:ligatures w14:val="none"/>
    </w:rPr>
  </w:style>
  <w:style w:type="paragraph" w:customStyle="1" w:styleId="VHBAnumberlowerroman">
    <w:name w:val="VHBA number lower roman"/>
    <w:basedOn w:val="VHBAbody"/>
    <w:uiPriority w:val="3"/>
    <w:rsid w:val="00CB00FD"/>
    <w:pPr>
      <w:numPr>
        <w:numId w:val="47"/>
      </w:numPr>
    </w:pPr>
  </w:style>
  <w:style w:type="paragraph" w:customStyle="1" w:styleId="VHBAnumberlowerromanindent">
    <w:name w:val="VHBA number lower roman indent"/>
    <w:basedOn w:val="VHBAbody"/>
    <w:uiPriority w:val="3"/>
    <w:qFormat/>
    <w:rsid w:val="00CB00FD"/>
    <w:pPr>
      <w:numPr>
        <w:ilvl w:val="1"/>
        <w:numId w:val="47"/>
      </w:numPr>
    </w:pPr>
  </w:style>
  <w:style w:type="paragraph" w:customStyle="1" w:styleId="VHBAtablebullet1">
    <w:name w:val="VHBA table bullet 1"/>
    <w:basedOn w:val="VHBAtabletext"/>
    <w:uiPriority w:val="3"/>
    <w:qFormat/>
    <w:rsid w:val="00CB00FD"/>
    <w:pPr>
      <w:numPr>
        <w:numId w:val="48"/>
      </w:numPr>
    </w:pPr>
  </w:style>
  <w:style w:type="paragraph" w:customStyle="1" w:styleId="VHBAtablebullet2">
    <w:name w:val="VHBA table bullet 2"/>
    <w:basedOn w:val="VHBAtabletext"/>
    <w:uiPriority w:val="3"/>
    <w:rsid w:val="00CB00FD"/>
    <w:pPr>
      <w:numPr>
        <w:ilvl w:val="1"/>
        <w:numId w:val="48"/>
      </w:numPr>
    </w:pPr>
  </w:style>
  <w:style w:type="numbering" w:customStyle="1" w:styleId="ZZNumberslowerroman">
    <w:name w:val="ZZ Numbers lower roman"/>
    <w:basedOn w:val="NoList"/>
    <w:rsid w:val="00CB00FD"/>
    <w:pPr>
      <w:numPr>
        <w:numId w:val="47"/>
      </w:numPr>
    </w:pPr>
  </w:style>
  <w:style w:type="paragraph" w:customStyle="1" w:styleId="VHBABodyBold">
    <w:name w:val="VHBA Body Bold"/>
    <w:basedOn w:val="VHBAbody"/>
    <w:link w:val="VHBABodyBoldChar"/>
    <w:qFormat/>
    <w:rsid w:val="00CB00FD"/>
    <w:rPr>
      <w:b/>
    </w:rPr>
  </w:style>
  <w:style w:type="character" w:customStyle="1" w:styleId="VHBABodyBoldChar">
    <w:name w:val="VHBA Body Bold Char"/>
    <w:basedOn w:val="VHBAbodyChar"/>
    <w:link w:val="VHBABodyBold"/>
    <w:rsid w:val="00CB00FD"/>
    <w:rPr>
      <w:rFonts w:eastAsia="Times" w:cs="Times New Roman"/>
      <w:b/>
      <w:kern w:val="0"/>
      <w:sz w:val="20"/>
      <w:szCs w:val="20"/>
      <w14:ligatures w14:val="none"/>
    </w:rPr>
  </w:style>
  <w:style w:type="numbering" w:customStyle="1" w:styleId="ListHeadings1">
    <w:name w:val="List Headings1"/>
    <w:uiPriority w:val="99"/>
    <w:rsid w:val="00CB00FD"/>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hhs.smartygrants.com.au/RHIF2024-25" TargetMode="External"/><Relationship Id="rId39" Type="http://schemas.openxmlformats.org/officeDocument/2006/relationships/hyperlink" Target="https://www.health.vic.gov.au/publications/medical-equipment-asset-management-framework" TargetMode="External"/><Relationship Id="rId21" Type="http://schemas.openxmlformats.org/officeDocument/2006/relationships/hyperlink" Target="https://dhhs.smartygrants.com.au/rhif2025-26acchos" TargetMode="External"/><Relationship Id="rId34" Type="http://schemas.openxmlformats.org/officeDocument/2006/relationships/hyperlink" Target="mailto:service@smarty.grants.com.au" TargetMode="External"/><Relationship Id="rId42" Type="http://schemas.openxmlformats.org/officeDocument/2006/relationships/hyperlink" Target="https://www.vhba.vic.gov.au/health/regional-facilities/regional-health-infrastructure-fund" TargetMode="External"/><Relationship Id="rId47" Type="http://schemas.openxmlformats.org/officeDocument/2006/relationships/hyperlink" Target="https://www.vhba.vic.gov.au/public-sector-residential-aged-care-services-interim-facility-design-guidelines" TargetMode="External"/><Relationship Id="rId50" Type="http://schemas.openxmlformats.org/officeDocument/2006/relationships/hyperlink" Target="https://www.dtf.vic.gov.au/public-construction-policy-and-resources/ministerial-directions-and-instructions-public-construction-procurement" TargetMode="External"/><Relationship Id="rId55" Type="http://schemas.openxmlformats.org/officeDocument/2006/relationships/hyperlink" Target="https://localjobsfirst.vic.gov.au/agency-guidance/major-project-skills-guarantee" TargetMode="External"/><Relationship Id="rId63" Type="http://schemas.openxmlformats.org/officeDocument/2006/relationships/hyperlink" Target="https://www.vhba.vic.gov.au/guidelines-sustainability-capital-works" TargetMode="External"/><Relationship Id="rId68" Type="http://schemas.openxmlformats.org/officeDocument/2006/relationships/hyperlink" Target="https://www.vhba.vic.gov.au/health/regional-facilities/regional-health-infrastructure-fund" TargetMode="External"/><Relationship Id="rId7" Type="http://schemas.openxmlformats.org/officeDocument/2006/relationships/settings" Target="settings.xml"/><Relationship Id="rId71"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mailto:RHIF.Applications@health.vic.gov.au" TargetMode="External"/><Relationship Id="rId11" Type="http://schemas.openxmlformats.org/officeDocument/2006/relationships/image" Target="media/image1.jpeg"/><Relationship Id="rId24" Type="http://schemas.openxmlformats.org/officeDocument/2006/relationships/image" Target="media/image8.svg"/><Relationship Id="rId32" Type="http://schemas.openxmlformats.org/officeDocument/2006/relationships/hyperlink" Target="https://applicanthelp.smartygrants.com.au/help-guide-for-applicants/" TargetMode="External"/><Relationship Id="rId37" Type="http://schemas.openxmlformats.org/officeDocument/2006/relationships/hyperlink" Target="https://djsir.vic.gov.au/jobs-victoria" TargetMode="External"/><Relationship Id="rId40" Type="http://schemas.openxmlformats.org/officeDocument/2006/relationships/hyperlink" Target="https://healthfacilityguidelines.com.au/" TargetMode="External"/><Relationship Id="rId45" Type="http://schemas.openxmlformats.org/officeDocument/2006/relationships/hyperlink" Target="https://www.vhba.vic.gov.au/resources/technical-guidelines" TargetMode="External"/><Relationship Id="rId53" Type="http://schemas.openxmlformats.org/officeDocument/2006/relationships/hyperlink" Target="https://www.dtf.vic.gov.au/investment-lifecycle-and-high-value-high-risk-guidelines/stage-1-business-case" TargetMode="External"/><Relationship Id="rId58" Type="http://schemas.openxmlformats.org/officeDocument/2006/relationships/hyperlink" Target="https://www.legislation.gov.au/F2022L01007/latest/text" TargetMode="External"/><Relationship Id="rId66" Type="http://schemas.openxmlformats.org/officeDocument/2006/relationships/hyperlink" Target="mailto:rhif-applications.vhba@vida.vic.gov.au"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png"/><Relationship Id="rId28" Type="http://schemas.openxmlformats.org/officeDocument/2006/relationships/hyperlink" Target="mailto:rhif-applications.vhba@vida.vic.gov.au" TargetMode="External"/><Relationship Id="rId36" Type="http://schemas.openxmlformats.org/officeDocument/2006/relationships/hyperlink" Target="https://healthsharevic.org.au/" TargetMode="External"/><Relationship Id="rId49" Type="http://schemas.openxmlformats.org/officeDocument/2006/relationships/hyperlink" Target="https://www.dtf.vic.gov.au/public-construction-policy-and-resources/ministerial-directions-and-instructions-public-construction-procurement" TargetMode="External"/><Relationship Id="rId57" Type="http://schemas.openxmlformats.org/officeDocument/2006/relationships/hyperlink" Target="https://www.legislation.gov.au/C2016A00087/latest/text" TargetMode="External"/><Relationship Id="rId61" Type="http://schemas.openxmlformats.org/officeDocument/2006/relationships/hyperlink" Target="https://www.vhba.vic.gov.au/health/regional-facilities/regional-health-infrastructure-fund" TargetMode="External"/><Relationship Id="rId10" Type="http://schemas.openxmlformats.org/officeDocument/2006/relationships/endnotes" Target="endnotes.xml"/><Relationship Id="rId19" Type="http://schemas.openxmlformats.org/officeDocument/2006/relationships/hyperlink" Target="https://dhhs.smartygrants.com.au/rhif2025-26" TargetMode="External"/><Relationship Id="rId31" Type="http://schemas.openxmlformats.org/officeDocument/2006/relationships/hyperlink" Target="https://www.vhba.vic.gov.au/health/regional-facilities/regional-health-infrastructure-fund" TargetMode="External"/><Relationship Id="rId44" Type="http://schemas.openxmlformats.org/officeDocument/2006/relationships/hyperlink" Target="https://www.vhba.vic.gov.au/resources/universal-design" TargetMode="External"/><Relationship Id="rId52" Type="http://schemas.openxmlformats.org/officeDocument/2006/relationships/hyperlink" Target="https://www.dtf.vic.gov.au/infrastructure-investment/construction-supplier-register" TargetMode="External"/><Relationship Id="rId60" Type="http://schemas.openxmlformats.org/officeDocument/2006/relationships/hyperlink" Target="https://ncc.abcb.gov.au/" TargetMode="External"/><Relationship Id="rId65" Type="http://schemas.openxmlformats.org/officeDocument/2006/relationships/hyperlink" Target="https://www.vhba.vic.gov.au/guidelines-sustainability-capital-works" TargetMode="Externa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hyperlink" Target="https://dhhs.smartygrants.com.au/rhif2025-26" TargetMode="External"/><Relationship Id="rId30" Type="http://schemas.openxmlformats.org/officeDocument/2006/relationships/hyperlink" Target="https://www.vhba.vic.gov.au/health/regional-facilities/regional-health-infrastructure-fund" TargetMode="External"/><Relationship Id="rId35" Type="http://schemas.openxmlformats.org/officeDocument/2006/relationships/hyperlink" Target="https://buyingfor.vic.gov.au/social-procurement-framework" TargetMode="External"/><Relationship Id="rId43" Type="http://schemas.openxmlformats.org/officeDocument/2006/relationships/hyperlink" Target="https://www.vhba.vic.gov.au/resources/design-guidelines" TargetMode="External"/><Relationship Id="rId48" Type="http://schemas.openxmlformats.org/officeDocument/2006/relationships/hyperlink" Target="https://www.dtf.vic.gov.au/legislation-policy-and-public-construction" TargetMode="External"/><Relationship Id="rId56" Type="http://schemas.openxmlformats.org/officeDocument/2006/relationships/hyperlink" Target="https://www.coronavirus.vic.gov.au/find-work-or-employees-fast-working-victoria" TargetMode="External"/><Relationship Id="rId64" Type="http://schemas.openxmlformats.org/officeDocument/2006/relationships/hyperlink" Target="https://www.vhba.vic.gov.au/reporting-solar-photovoltaic-data" TargetMode="External"/><Relationship Id="rId69"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www.dtf.vic.gov.au/public-construction-policy-and-resources/practitioners-toolkit"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www.smartygrants.com.au" TargetMode="External"/><Relationship Id="rId33" Type="http://schemas.openxmlformats.org/officeDocument/2006/relationships/hyperlink" Target="https://applicanthelp.smartygrants.com.au/help-guide-for-applicants/" TargetMode="External"/><Relationship Id="rId38" Type="http://schemas.openxmlformats.org/officeDocument/2006/relationships/hyperlink" Target="https://www.health.vic.gov.au/publications/medical-equipment-asset-management-framework" TargetMode="External"/><Relationship Id="rId46" Type="http://schemas.openxmlformats.org/officeDocument/2006/relationships/hyperlink" Target="https://www.vhba.vic.gov.au/masterplanning" TargetMode="External"/><Relationship Id="rId59" Type="http://schemas.openxmlformats.org/officeDocument/2006/relationships/hyperlink" Target="https://ablis.business.gov.au/service/ag/australian-government-building-and-construction-workplace-health-and-safety-accreditation-scheme/301" TargetMode="External"/><Relationship Id="rId67" Type="http://schemas.openxmlformats.org/officeDocument/2006/relationships/hyperlink" Target="mailto:rhif-applications.vhba@vida.vic.gov.au" TargetMode="External"/><Relationship Id="rId20" Type="http://schemas.openxmlformats.org/officeDocument/2006/relationships/hyperlink" Target="https://www.dtf.vic.gov.au/infrastructure-investment/asset-management-accountability-framework" TargetMode="External"/><Relationship Id="rId41" Type="http://schemas.openxmlformats.org/officeDocument/2006/relationships/hyperlink" Target="https://providers.dffh.vic.gov.au/fire-risk-management-procedures-and-guidelines" TargetMode="External"/><Relationship Id="rId54" Type="http://schemas.openxmlformats.org/officeDocument/2006/relationships/hyperlink" Target="https://localjobsfirst.vic.gov.au/about/local-jobs-first" TargetMode="External"/><Relationship Id="rId62" Type="http://schemas.openxmlformats.org/officeDocument/2006/relationships/hyperlink" Target="https://www.vhba.vic.gov.au/guidelines-sustainability-capital-works" TargetMode="External"/><Relationship Id="rId7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83A24DDE344F4CBB65001B525CD93C"/>
        <w:category>
          <w:name w:val="General"/>
          <w:gallery w:val="placeholder"/>
        </w:category>
        <w:types>
          <w:type w:val="bbPlcHdr"/>
        </w:types>
        <w:behaviors>
          <w:behavior w:val="content"/>
        </w:behaviors>
        <w:guid w:val="{8D429CEF-5597-4C31-934B-8A58C08BE7C4}"/>
      </w:docPartPr>
      <w:docPartBody>
        <w:p w:rsidR="00F46999" w:rsidRDefault="00F46999">
          <w:pPr>
            <w:pStyle w:val="F483A24DDE344F4CBB65001B525CD93C"/>
          </w:pPr>
          <w:r w:rsidRPr="00753049">
            <w:t>Click to enter Title.</w:t>
          </w:r>
        </w:p>
      </w:docPartBody>
    </w:docPart>
    <w:docPart>
      <w:docPartPr>
        <w:name w:val="5755837A71DC43CCAB693E1F9F2406AC"/>
        <w:category>
          <w:name w:val="General"/>
          <w:gallery w:val="placeholder"/>
        </w:category>
        <w:types>
          <w:type w:val="bbPlcHdr"/>
        </w:types>
        <w:behaviors>
          <w:behavior w:val="content"/>
        </w:behaviors>
        <w:guid w:val="{5AD332CF-B57F-49F5-B729-368E8CF3706C}"/>
      </w:docPartPr>
      <w:docPartBody>
        <w:p w:rsidR="00F46999" w:rsidRDefault="00F46999">
          <w:pPr>
            <w:pStyle w:val="5755837A71DC43CCAB693E1F9F2406AC"/>
          </w:pPr>
          <w:r w:rsidRPr="00753049">
            <w:t>Click to enter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8D2"/>
    <w:rsid w:val="001266EC"/>
    <w:rsid w:val="0013485F"/>
    <w:rsid w:val="004E3628"/>
    <w:rsid w:val="005D2CDC"/>
    <w:rsid w:val="007318D2"/>
    <w:rsid w:val="00AA36A6"/>
    <w:rsid w:val="00C47866"/>
    <w:rsid w:val="00F46999"/>
    <w:rsid w:val="00FE1D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83A24DDE344F4CBB65001B525CD93C">
    <w:name w:val="F483A24DDE344F4CBB65001B525CD93C"/>
  </w:style>
  <w:style w:type="paragraph" w:customStyle="1" w:styleId="5755837A71DC43CCAB693E1F9F2406AC">
    <w:name w:val="5755837A71DC43CCAB693E1F9F2406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VIDA Health Theme">
  <a:themeElements>
    <a:clrScheme name="VIDA Health brand colour">
      <a:dk1>
        <a:srgbClr val="000000"/>
      </a:dk1>
      <a:lt1>
        <a:srgbClr val="FFFFFF"/>
      </a:lt1>
      <a:dk2>
        <a:srgbClr val="850024"/>
      </a:dk2>
      <a:lt2>
        <a:srgbClr val="DAB3BD"/>
      </a:lt2>
      <a:accent1>
        <a:srgbClr val="B5C1B8"/>
      </a:accent1>
      <a:accent2>
        <a:srgbClr val="F05545"/>
      </a:accent2>
      <a:accent3>
        <a:srgbClr val="DAB3BD"/>
      </a:accent3>
      <a:accent4>
        <a:srgbClr val="FAAC6A"/>
      </a:accent4>
      <a:accent5>
        <a:srgbClr val="676767"/>
      </a:accent5>
      <a:accent6>
        <a:srgbClr val="5C7181"/>
      </a:accent6>
      <a:hlink>
        <a:srgbClr val="5C7181"/>
      </a:hlink>
      <a:folHlink>
        <a:srgbClr val="85A3A9"/>
      </a:folHlink>
    </a:clrScheme>
    <a:fontScheme name="VIDA Fonts">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067D2FB219704E8815D3773863F59F" ma:contentTypeVersion="17" ma:contentTypeDescription="Create a new document." ma:contentTypeScope="" ma:versionID="d65bf42257d22fbed1895af5da5414e9">
  <xsd:schema xmlns:xsd="http://www.w3.org/2001/XMLSchema" xmlns:xs="http://www.w3.org/2001/XMLSchema" xmlns:p="http://schemas.microsoft.com/office/2006/metadata/properties" xmlns:ns2="a2bbf0b5-9978-4f67-8b48-e893220fbe94" xmlns:ns3="d59e1e64-7d32-4ea4-92a4-c19059d920a6" targetNamespace="http://schemas.microsoft.com/office/2006/metadata/properties" ma:root="true" ma:fieldsID="bf8b37fea7a9cc44fac6ec42d99eaa18" ns2:_="" ns3:_="">
    <xsd:import namespace="a2bbf0b5-9978-4f67-8b48-e893220fbe94"/>
    <xsd:import namespace="d59e1e64-7d32-4ea4-92a4-c19059d920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MediaServiceBillingMetadata"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bf0b5-9978-4f67-8b48-e893220fb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253ca0-0e4f-4117-af4a-aa96efdf67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Image" ma:index="28"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9e1e64-7d32-4ea4-92a4-c19059d920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fb0c12-6a78-4fcc-ad5f-9773da24add3}" ma:internalName="TaxCatchAll" ma:readOnly="false" ma:showField="CatchAllData" ma:web="d59e1e64-7d32-4ea4-92a4-c19059d920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bbf0b5-9978-4f67-8b48-e893220fbe94">
      <Terms xmlns="http://schemas.microsoft.com/office/infopath/2007/PartnerControls"/>
    </lcf76f155ced4ddcb4097134ff3c332f>
    <TaxCatchAll xmlns="d59e1e64-7d32-4ea4-92a4-c19059d920a6" xsi:nil="true"/>
    <Image xmlns="a2bbf0b5-9978-4f67-8b48-e893220fbe94" xsi:nil="true"/>
    <Notes xmlns="a2bbf0b5-9978-4f67-8b48-e893220fbe9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368D89-5605-438A-8002-3BFBD7679AC6}">
  <ds:schemaRefs>
    <ds:schemaRef ds:uri="http://schemas.openxmlformats.org/officeDocument/2006/bibliography"/>
  </ds:schemaRefs>
</ds:datastoreItem>
</file>

<file path=customXml/itemProps2.xml><?xml version="1.0" encoding="utf-8"?>
<ds:datastoreItem xmlns:ds="http://schemas.openxmlformats.org/officeDocument/2006/customXml" ds:itemID="{60F81DEB-A00D-4F15-87BC-26012BAC0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bf0b5-9978-4f67-8b48-e893220fbe94"/>
    <ds:schemaRef ds:uri="d59e1e64-7d32-4ea4-92a4-c19059d92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B5398D-3D00-46CA-9D92-3629354EE7F0}">
  <ds:schemaRefs>
    <ds:schemaRef ds:uri="http://schemas.microsoft.com/office/2006/metadata/properties"/>
    <ds:schemaRef ds:uri="a2bbf0b5-9978-4f67-8b48-e893220fbe94"/>
    <ds:schemaRef ds:uri="http://purl.org/dc/terms/"/>
    <ds:schemaRef ds:uri="http://schemas.openxmlformats.org/package/2006/metadata/core-properties"/>
    <ds:schemaRef ds:uri="http://schemas.microsoft.com/office/2006/documentManagement/types"/>
    <ds:schemaRef ds:uri="d59e1e64-7d32-4ea4-92a4-c19059d920a6"/>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72DBD59-48CA-4A59-BE30-75D83F861D4D}">
  <ds:schemaRefs>
    <ds:schemaRef ds:uri="http://schemas.microsoft.com/sharepoint/v3/contenttype/forms"/>
  </ds:schemaRefs>
</ds:datastoreItem>
</file>

<file path=docMetadata/LabelInfo.xml><?xml version="1.0" encoding="utf-8"?>
<clbl:labelList xmlns:clbl="http://schemas.microsoft.com/office/2020/mipLabelMetadata">
  <clbl:label id="{a268119a-eeb5-485b-8e0e-5be0b081da64}" enabled="1" method="Privileged" siteId="{12ceb59c-6eb5-4da6-83fc-be99d5833257}"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29</Pages>
  <Words>9657</Words>
  <Characters>57170</Characters>
  <Application>Microsoft Office Word</Application>
  <DocSecurity>0</DocSecurity>
  <Lines>1361</Lines>
  <Paragraphs>997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65830</CharactersWithSpaces>
  <SharedDoc>false</SharedDoc>
  <HLinks>
    <vt:vector size="648" baseType="variant">
      <vt:variant>
        <vt:i4>2424890</vt:i4>
      </vt:variant>
      <vt:variant>
        <vt:i4>510</vt:i4>
      </vt:variant>
      <vt:variant>
        <vt:i4>0</vt:i4>
      </vt:variant>
      <vt:variant>
        <vt:i4>5</vt:i4>
      </vt:variant>
      <vt:variant>
        <vt:lpwstr>https://www.vhba.vic.gov.au/health/regional-facilities/regional-health-infrastructure-fund</vt:lpwstr>
      </vt:variant>
      <vt:variant>
        <vt:lpwstr/>
      </vt:variant>
      <vt:variant>
        <vt:i4>7995463</vt:i4>
      </vt:variant>
      <vt:variant>
        <vt:i4>507</vt:i4>
      </vt:variant>
      <vt:variant>
        <vt:i4>0</vt:i4>
      </vt:variant>
      <vt:variant>
        <vt:i4>5</vt:i4>
      </vt:variant>
      <vt:variant>
        <vt:lpwstr>mailto:rhif-applications.vhba@vida.vic.gov.au</vt:lpwstr>
      </vt:variant>
      <vt:variant>
        <vt:lpwstr/>
      </vt:variant>
      <vt:variant>
        <vt:i4>7995463</vt:i4>
      </vt:variant>
      <vt:variant>
        <vt:i4>504</vt:i4>
      </vt:variant>
      <vt:variant>
        <vt:i4>0</vt:i4>
      </vt:variant>
      <vt:variant>
        <vt:i4>5</vt:i4>
      </vt:variant>
      <vt:variant>
        <vt:lpwstr>mailto:rhif-applications.vhba@vida.vic.gov.au</vt:lpwstr>
      </vt:variant>
      <vt:variant>
        <vt:lpwstr/>
      </vt:variant>
      <vt:variant>
        <vt:i4>7536701</vt:i4>
      </vt:variant>
      <vt:variant>
        <vt:i4>501</vt:i4>
      </vt:variant>
      <vt:variant>
        <vt:i4>0</vt:i4>
      </vt:variant>
      <vt:variant>
        <vt:i4>5</vt:i4>
      </vt:variant>
      <vt:variant>
        <vt:lpwstr>https://www.vhba.vic.gov.au/guidelines-sustainability-capital-works</vt:lpwstr>
      </vt:variant>
      <vt:variant>
        <vt:lpwstr/>
      </vt:variant>
      <vt:variant>
        <vt:i4>65620</vt:i4>
      </vt:variant>
      <vt:variant>
        <vt:i4>498</vt:i4>
      </vt:variant>
      <vt:variant>
        <vt:i4>0</vt:i4>
      </vt:variant>
      <vt:variant>
        <vt:i4>5</vt:i4>
      </vt:variant>
      <vt:variant>
        <vt:lpwstr>https://www.vhba.vic.gov.au/reporting-solar-photovoltaic-data</vt:lpwstr>
      </vt:variant>
      <vt:variant>
        <vt:lpwstr/>
      </vt:variant>
      <vt:variant>
        <vt:i4>7536701</vt:i4>
      </vt:variant>
      <vt:variant>
        <vt:i4>495</vt:i4>
      </vt:variant>
      <vt:variant>
        <vt:i4>0</vt:i4>
      </vt:variant>
      <vt:variant>
        <vt:i4>5</vt:i4>
      </vt:variant>
      <vt:variant>
        <vt:lpwstr>https://www.vhba.vic.gov.au/guidelines-sustainability-capital-works</vt:lpwstr>
      </vt:variant>
      <vt:variant>
        <vt:lpwstr/>
      </vt:variant>
      <vt:variant>
        <vt:i4>7536701</vt:i4>
      </vt:variant>
      <vt:variant>
        <vt:i4>492</vt:i4>
      </vt:variant>
      <vt:variant>
        <vt:i4>0</vt:i4>
      </vt:variant>
      <vt:variant>
        <vt:i4>5</vt:i4>
      </vt:variant>
      <vt:variant>
        <vt:lpwstr>https://www.vhba.vic.gov.au/guidelines-sustainability-capital-works</vt:lpwstr>
      </vt:variant>
      <vt:variant>
        <vt:lpwstr/>
      </vt:variant>
      <vt:variant>
        <vt:i4>2424890</vt:i4>
      </vt:variant>
      <vt:variant>
        <vt:i4>489</vt:i4>
      </vt:variant>
      <vt:variant>
        <vt:i4>0</vt:i4>
      </vt:variant>
      <vt:variant>
        <vt:i4>5</vt:i4>
      </vt:variant>
      <vt:variant>
        <vt:lpwstr>https://www.vhba.vic.gov.au/health/regional-facilities/regional-health-infrastructure-fund</vt:lpwstr>
      </vt:variant>
      <vt:variant>
        <vt:lpwstr/>
      </vt:variant>
      <vt:variant>
        <vt:i4>196693</vt:i4>
      </vt:variant>
      <vt:variant>
        <vt:i4>486</vt:i4>
      </vt:variant>
      <vt:variant>
        <vt:i4>0</vt:i4>
      </vt:variant>
      <vt:variant>
        <vt:i4>5</vt:i4>
      </vt:variant>
      <vt:variant>
        <vt:lpwstr>https://ncc.abcb.gov.au/</vt:lpwstr>
      </vt:variant>
      <vt:variant>
        <vt:lpwstr/>
      </vt:variant>
      <vt:variant>
        <vt:i4>1507328</vt:i4>
      </vt:variant>
      <vt:variant>
        <vt:i4>483</vt:i4>
      </vt:variant>
      <vt:variant>
        <vt:i4>0</vt:i4>
      </vt:variant>
      <vt:variant>
        <vt:i4>5</vt:i4>
      </vt:variant>
      <vt:variant>
        <vt:lpwstr>https://ablis.business.gov.au/service/ag/australian-government-building-and-construction-workplace-health-and-safety-accreditation-scheme/301</vt:lpwstr>
      </vt:variant>
      <vt:variant>
        <vt:lpwstr/>
      </vt:variant>
      <vt:variant>
        <vt:i4>3080255</vt:i4>
      </vt:variant>
      <vt:variant>
        <vt:i4>480</vt:i4>
      </vt:variant>
      <vt:variant>
        <vt:i4>0</vt:i4>
      </vt:variant>
      <vt:variant>
        <vt:i4>5</vt:i4>
      </vt:variant>
      <vt:variant>
        <vt:lpwstr>https://www.legislation.gov.au/F2022L01007/latest/text</vt:lpwstr>
      </vt:variant>
      <vt:variant>
        <vt:lpwstr/>
      </vt:variant>
      <vt:variant>
        <vt:i4>3014712</vt:i4>
      </vt:variant>
      <vt:variant>
        <vt:i4>477</vt:i4>
      </vt:variant>
      <vt:variant>
        <vt:i4>0</vt:i4>
      </vt:variant>
      <vt:variant>
        <vt:i4>5</vt:i4>
      </vt:variant>
      <vt:variant>
        <vt:lpwstr>https://www.legislation.gov.au/C2016A00087/latest/text</vt:lpwstr>
      </vt:variant>
      <vt:variant>
        <vt:lpwstr/>
      </vt:variant>
      <vt:variant>
        <vt:i4>3538985</vt:i4>
      </vt:variant>
      <vt:variant>
        <vt:i4>474</vt:i4>
      </vt:variant>
      <vt:variant>
        <vt:i4>0</vt:i4>
      </vt:variant>
      <vt:variant>
        <vt:i4>5</vt:i4>
      </vt:variant>
      <vt:variant>
        <vt:lpwstr>https://www.coronavirus.vic.gov.au/find-work-or-employees-fast-working-victoria</vt:lpwstr>
      </vt:variant>
      <vt:variant>
        <vt:lpwstr/>
      </vt:variant>
      <vt:variant>
        <vt:i4>1638404</vt:i4>
      </vt:variant>
      <vt:variant>
        <vt:i4>471</vt:i4>
      </vt:variant>
      <vt:variant>
        <vt:i4>0</vt:i4>
      </vt:variant>
      <vt:variant>
        <vt:i4>5</vt:i4>
      </vt:variant>
      <vt:variant>
        <vt:lpwstr>https://localjobsfirst.vic.gov.au/agency-guidance/major-project-skills-guarantee</vt:lpwstr>
      </vt:variant>
      <vt:variant>
        <vt:lpwstr/>
      </vt:variant>
      <vt:variant>
        <vt:i4>5898334</vt:i4>
      </vt:variant>
      <vt:variant>
        <vt:i4>468</vt:i4>
      </vt:variant>
      <vt:variant>
        <vt:i4>0</vt:i4>
      </vt:variant>
      <vt:variant>
        <vt:i4>5</vt:i4>
      </vt:variant>
      <vt:variant>
        <vt:lpwstr>https://localjobsfirst.vic.gov.au/about/local-jobs-first</vt:lpwstr>
      </vt:variant>
      <vt:variant>
        <vt:lpwstr/>
      </vt:variant>
      <vt:variant>
        <vt:i4>4915292</vt:i4>
      </vt:variant>
      <vt:variant>
        <vt:i4>465</vt:i4>
      </vt:variant>
      <vt:variant>
        <vt:i4>0</vt:i4>
      </vt:variant>
      <vt:variant>
        <vt:i4>5</vt:i4>
      </vt:variant>
      <vt:variant>
        <vt:lpwstr>https://www.dtf.vic.gov.au/investment-lifecycle-and-high-value-high-risk-guidelines/stage-1-business-case</vt:lpwstr>
      </vt:variant>
      <vt:variant>
        <vt:lpwstr/>
      </vt:variant>
      <vt:variant>
        <vt:i4>7078003</vt:i4>
      </vt:variant>
      <vt:variant>
        <vt:i4>462</vt:i4>
      </vt:variant>
      <vt:variant>
        <vt:i4>0</vt:i4>
      </vt:variant>
      <vt:variant>
        <vt:i4>5</vt:i4>
      </vt:variant>
      <vt:variant>
        <vt:lpwstr>https://www.dtf.vic.gov.au/infrastructure-investment/construction-supplier-register</vt:lpwstr>
      </vt:variant>
      <vt:variant>
        <vt:lpwstr/>
      </vt:variant>
      <vt:variant>
        <vt:i4>5505102</vt:i4>
      </vt:variant>
      <vt:variant>
        <vt:i4>459</vt:i4>
      </vt:variant>
      <vt:variant>
        <vt:i4>0</vt:i4>
      </vt:variant>
      <vt:variant>
        <vt:i4>5</vt:i4>
      </vt:variant>
      <vt:variant>
        <vt:lpwstr>https://www.dtf.vic.gov.au/public-construction-policy-and-resources/practitioners-toolkit</vt:lpwstr>
      </vt:variant>
      <vt:variant>
        <vt:lpwstr/>
      </vt:variant>
      <vt:variant>
        <vt:i4>3407979</vt:i4>
      </vt:variant>
      <vt:variant>
        <vt:i4>456</vt:i4>
      </vt:variant>
      <vt:variant>
        <vt:i4>0</vt:i4>
      </vt:variant>
      <vt:variant>
        <vt:i4>5</vt:i4>
      </vt:variant>
      <vt:variant>
        <vt:lpwstr>https://www.dtf.vic.gov.au/public-construction-policy-and-resources/ministerial-directions-and-instructions-public-construction-procurement</vt:lpwstr>
      </vt:variant>
      <vt:variant>
        <vt:lpwstr/>
      </vt:variant>
      <vt:variant>
        <vt:i4>3407979</vt:i4>
      </vt:variant>
      <vt:variant>
        <vt:i4>453</vt:i4>
      </vt:variant>
      <vt:variant>
        <vt:i4>0</vt:i4>
      </vt:variant>
      <vt:variant>
        <vt:i4>5</vt:i4>
      </vt:variant>
      <vt:variant>
        <vt:lpwstr>https://www.dtf.vic.gov.au/public-construction-policy-and-resources/ministerial-directions-and-instructions-public-construction-procurement</vt:lpwstr>
      </vt:variant>
      <vt:variant>
        <vt:lpwstr/>
      </vt:variant>
      <vt:variant>
        <vt:i4>196630</vt:i4>
      </vt:variant>
      <vt:variant>
        <vt:i4>450</vt:i4>
      </vt:variant>
      <vt:variant>
        <vt:i4>0</vt:i4>
      </vt:variant>
      <vt:variant>
        <vt:i4>5</vt:i4>
      </vt:variant>
      <vt:variant>
        <vt:lpwstr>https://www.dtf.vic.gov.au/legislation-policy-and-public-construction</vt:lpwstr>
      </vt:variant>
      <vt:variant>
        <vt:lpwstr/>
      </vt:variant>
      <vt:variant>
        <vt:i4>7929894</vt:i4>
      </vt:variant>
      <vt:variant>
        <vt:i4>447</vt:i4>
      </vt:variant>
      <vt:variant>
        <vt:i4>0</vt:i4>
      </vt:variant>
      <vt:variant>
        <vt:i4>5</vt:i4>
      </vt:variant>
      <vt:variant>
        <vt:lpwstr>https://www.vhba.vic.gov.au/public-sector-residential-aged-care-services-interim-facility-design-guidelines</vt:lpwstr>
      </vt:variant>
      <vt:variant>
        <vt:lpwstr/>
      </vt:variant>
      <vt:variant>
        <vt:i4>6291555</vt:i4>
      </vt:variant>
      <vt:variant>
        <vt:i4>444</vt:i4>
      </vt:variant>
      <vt:variant>
        <vt:i4>0</vt:i4>
      </vt:variant>
      <vt:variant>
        <vt:i4>5</vt:i4>
      </vt:variant>
      <vt:variant>
        <vt:lpwstr>https://www.vhba.vic.gov.au/masterplanning</vt:lpwstr>
      </vt:variant>
      <vt:variant>
        <vt:lpwstr/>
      </vt:variant>
      <vt:variant>
        <vt:i4>7405692</vt:i4>
      </vt:variant>
      <vt:variant>
        <vt:i4>441</vt:i4>
      </vt:variant>
      <vt:variant>
        <vt:i4>0</vt:i4>
      </vt:variant>
      <vt:variant>
        <vt:i4>5</vt:i4>
      </vt:variant>
      <vt:variant>
        <vt:lpwstr>https://www.vhba.vic.gov.au/resources/technical-guidelines</vt:lpwstr>
      </vt:variant>
      <vt:variant>
        <vt:lpwstr/>
      </vt:variant>
      <vt:variant>
        <vt:i4>8192123</vt:i4>
      </vt:variant>
      <vt:variant>
        <vt:i4>438</vt:i4>
      </vt:variant>
      <vt:variant>
        <vt:i4>0</vt:i4>
      </vt:variant>
      <vt:variant>
        <vt:i4>5</vt:i4>
      </vt:variant>
      <vt:variant>
        <vt:lpwstr>https://www.vhba.vic.gov.au/resources/universal-design</vt:lpwstr>
      </vt:variant>
      <vt:variant>
        <vt:lpwstr/>
      </vt:variant>
      <vt:variant>
        <vt:i4>3932195</vt:i4>
      </vt:variant>
      <vt:variant>
        <vt:i4>435</vt:i4>
      </vt:variant>
      <vt:variant>
        <vt:i4>0</vt:i4>
      </vt:variant>
      <vt:variant>
        <vt:i4>5</vt:i4>
      </vt:variant>
      <vt:variant>
        <vt:lpwstr>https://www.vhba.vic.gov.au/resources/design-guidelines</vt:lpwstr>
      </vt:variant>
      <vt:variant>
        <vt:lpwstr/>
      </vt:variant>
      <vt:variant>
        <vt:i4>2424890</vt:i4>
      </vt:variant>
      <vt:variant>
        <vt:i4>432</vt:i4>
      </vt:variant>
      <vt:variant>
        <vt:i4>0</vt:i4>
      </vt:variant>
      <vt:variant>
        <vt:i4>5</vt:i4>
      </vt:variant>
      <vt:variant>
        <vt:lpwstr>https://www.vhba.vic.gov.au/health/regional-facilities/regional-health-infrastructure-fund</vt:lpwstr>
      </vt:variant>
      <vt:variant>
        <vt:lpwstr/>
      </vt:variant>
      <vt:variant>
        <vt:i4>5832728</vt:i4>
      </vt:variant>
      <vt:variant>
        <vt:i4>429</vt:i4>
      </vt:variant>
      <vt:variant>
        <vt:i4>0</vt:i4>
      </vt:variant>
      <vt:variant>
        <vt:i4>5</vt:i4>
      </vt:variant>
      <vt:variant>
        <vt:lpwstr>https://providers.dffh.vic.gov.au/fire-risk-management-procedures-and-guidelines</vt:lpwstr>
      </vt:variant>
      <vt:variant>
        <vt:lpwstr/>
      </vt:variant>
      <vt:variant>
        <vt:i4>4718685</vt:i4>
      </vt:variant>
      <vt:variant>
        <vt:i4>426</vt:i4>
      </vt:variant>
      <vt:variant>
        <vt:i4>0</vt:i4>
      </vt:variant>
      <vt:variant>
        <vt:i4>5</vt:i4>
      </vt:variant>
      <vt:variant>
        <vt:lpwstr>https://healthfacilityguidelines.com.au/</vt:lpwstr>
      </vt:variant>
      <vt:variant>
        <vt:lpwstr/>
      </vt:variant>
      <vt:variant>
        <vt:i4>3145830</vt:i4>
      </vt:variant>
      <vt:variant>
        <vt:i4>423</vt:i4>
      </vt:variant>
      <vt:variant>
        <vt:i4>0</vt:i4>
      </vt:variant>
      <vt:variant>
        <vt:i4>5</vt:i4>
      </vt:variant>
      <vt:variant>
        <vt:lpwstr>https://www.health.vic.gov.au/publications/medical-equipment-asset-management-framework</vt:lpwstr>
      </vt:variant>
      <vt:variant>
        <vt:lpwstr/>
      </vt:variant>
      <vt:variant>
        <vt:i4>3145830</vt:i4>
      </vt:variant>
      <vt:variant>
        <vt:i4>420</vt:i4>
      </vt:variant>
      <vt:variant>
        <vt:i4>0</vt:i4>
      </vt:variant>
      <vt:variant>
        <vt:i4>5</vt:i4>
      </vt:variant>
      <vt:variant>
        <vt:lpwstr>https://www.health.vic.gov.au/publications/medical-equipment-asset-management-framework</vt:lpwstr>
      </vt:variant>
      <vt:variant>
        <vt:lpwstr/>
      </vt:variant>
      <vt:variant>
        <vt:i4>6553696</vt:i4>
      </vt:variant>
      <vt:variant>
        <vt:i4>417</vt:i4>
      </vt:variant>
      <vt:variant>
        <vt:i4>0</vt:i4>
      </vt:variant>
      <vt:variant>
        <vt:i4>5</vt:i4>
      </vt:variant>
      <vt:variant>
        <vt:lpwstr>https://djsir.vic.gov.au/jobs-victoria</vt:lpwstr>
      </vt:variant>
      <vt:variant>
        <vt:lpwstr/>
      </vt:variant>
      <vt:variant>
        <vt:i4>3735588</vt:i4>
      </vt:variant>
      <vt:variant>
        <vt:i4>414</vt:i4>
      </vt:variant>
      <vt:variant>
        <vt:i4>0</vt:i4>
      </vt:variant>
      <vt:variant>
        <vt:i4>5</vt:i4>
      </vt:variant>
      <vt:variant>
        <vt:lpwstr>https://healthsharevic.org.au/</vt:lpwstr>
      </vt:variant>
      <vt:variant>
        <vt:lpwstr/>
      </vt:variant>
      <vt:variant>
        <vt:i4>5439506</vt:i4>
      </vt:variant>
      <vt:variant>
        <vt:i4>411</vt:i4>
      </vt:variant>
      <vt:variant>
        <vt:i4>0</vt:i4>
      </vt:variant>
      <vt:variant>
        <vt:i4>5</vt:i4>
      </vt:variant>
      <vt:variant>
        <vt:lpwstr>https://buyingfor.vic.gov.au/social-procurement-framework</vt:lpwstr>
      </vt:variant>
      <vt:variant>
        <vt:lpwstr/>
      </vt:variant>
      <vt:variant>
        <vt:i4>2555905</vt:i4>
      </vt:variant>
      <vt:variant>
        <vt:i4>408</vt:i4>
      </vt:variant>
      <vt:variant>
        <vt:i4>0</vt:i4>
      </vt:variant>
      <vt:variant>
        <vt:i4>5</vt:i4>
      </vt:variant>
      <vt:variant>
        <vt:lpwstr>mailto:service@smarty.grants.com.au</vt:lpwstr>
      </vt:variant>
      <vt:variant>
        <vt:lpwstr/>
      </vt:variant>
      <vt:variant>
        <vt:i4>4915203</vt:i4>
      </vt:variant>
      <vt:variant>
        <vt:i4>405</vt:i4>
      </vt:variant>
      <vt:variant>
        <vt:i4>0</vt:i4>
      </vt:variant>
      <vt:variant>
        <vt:i4>5</vt:i4>
      </vt:variant>
      <vt:variant>
        <vt:lpwstr>https://applicanthelp.smartygrants.com.au/help-guide-for-applicants/</vt:lpwstr>
      </vt:variant>
      <vt:variant>
        <vt:lpwstr/>
      </vt:variant>
      <vt:variant>
        <vt:i4>4915203</vt:i4>
      </vt:variant>
      <vt:variant>
        <vt:i4>402</vt:i4>
      </vt:variant>
      <vt:variant>
        <vt:i4>0</vt:i4>
      </vt:variant>
      <vt:variant>
        <vt:i4>5</vt:i4>
      </vt:variant>
      <vt:variant>
        <vt:lpwstr>https://applicanthelp.smartygrants.com.au/help-guide-for-applicants/</vt:lpwstr>
      </vt:variant>
      <vt:variant>
        <vt:lpwstr/>
      </vt:variant>
      <vt:variant>
        <vt:i4>2424890</vt:i4>
      </vt:variant>
      <vt:variant>
        <vt:i4>399</vt:i4>
      </vt:variant>
      <vt:variant>
        <vt:i4>0</vt:i4>
      </vt:variant>
      <vt:variant>
        <vt:i4>5</vt:i4>
      </vt:variant>
      <vt:variant>
        <vt:lpwstr>https://www.vhba.vic.gov.au/health/regional-facilities/regional-health-infrastructure-fund</vt:lpwstr>
      </vt:variant>
      <vt:variant>
        <vt:lpwstr/>
      </vt:variant>
      <vt:variant>
        <vt:i4>2424890</vt:i4>
      </vt:variant>
      <vt:variant>
        <vt:i4>396</vt:i4>
      </vt:variant>
      <vt:variant>
        <vt:i4>0</vt:i4>
      </vt:variant>
      <vt:variant>
        <vt:i4>5</vt:i4>
      </vt:variant>
      <vt:variant>
        <vt:lpwstr>https://www.vhba.vic.gov.au/health/regional-facilities/regional-health-infrastructure-fund</vt:lpwstr>
      </vt:variant>
      <vt:variant>
        <vt:lpwstr/>
      </vt:variant>
      <vt:variant>
        <vt:i4>6291486</vt:i4>
      </vt:variant>
      <vt:variant>
        <vt:i4>393</vt:i4>
      </vt:variant>
      <vt:variant>
        <vt:i4>0</vt:i4>
      </vt:variant>
      <vt:variant>
        <vt:i4>5</vt:i4>
      </vt:variant>
      <vt:variant>
        <vt:lpwstr>mailto:RHIF.Applications@health.vic.gov.au</vt:lpwstr>
      </vt:variant>
      <vt:variant>
        <vt:lpwstr/>
      </vt:variant>
      <vt:variant>
        <vt:i4>7995463</vt:i4>
      </vt:variant>
      <vt:variant>
        <vt:i4>390</vt:i4>
      </vt:variant>
      <vt:variant>
        <vt:i4>0</vt:i4>
      </vt:variant>
      <vt:variant>
        <vt:i4>5</vt:i4>
      </vt:variant>
      <vt:variant>
        <vt:lpwstr>mailto:rhif-applications.vhba@vida.vic.gov.au</vt:lpwstr>
      </vt:variant>
      <vt:variant>
        <vt:lpwstr/>
      </vt:variant>
      <vt:variant>
        <vt:i4>262162</vt:i4>
      </vt:variant>
      <vt:variant>
        <vt:i4>387</vt:i4>
      </vt:variant>
      <vt:variant>
        <vt:i4>0</vt:i4>
      </vt:variant>
      <vt:variant>
        <vt:i4>5</vt:i4>
      </vt:variant>
      <vt:variant>
        <vt:lpwstr>https://dhhs.smartygrants.com.au/rhif2025-26</vt:lpwstr>
      </vt:variant>
      <vt:variant>
        <vt:lpwstr/>
      </vt:variant>
      <vt:variant>
        <vt:i4>458771</vt:i4>
      </vt:variant>
      <vt:variant>
        <vt:i4>384</vt:i4>
      </vt:variant>
      <vt:variant>
        <vt:i4>0</vt:i4>
      </vt:variant>
      <vt:variant>
        <vt:i4>5</vt:i4>
      </vt:variant>
      <vt:variant>
        <vt:lpwstr>https://dhhs.smartygrants.com.au/RHIF2024-25</vt:lpwstr>
      </vt:variant>
      <vt:variant>
        <vt:lpwstr/>
      </vt:variant>
      <vt:variant>
        <vt:i4>2424886</vt:i4>
      </vt:variant>
      <vt:variant>
        <vt:i4>381</vt:i4>
      </vt:variant>
      <vt:variant>
        <vt:i4>0</vt:i4>
      </vt:variant>
      <vt:variant>
        <vt:i4>5</vt:i4>
      </vt:variant>
      <vt:variant>
        <vt:lpwstr>http://www.smartygrants.com.au/</vt:lpwstr>
      </vt:variant>
      <vt:variant>
        <vt:lpwstr/>
      </vt:variant>
      <vt:variant>
        <vt:i4>8126591</vt:i4>
      </vt:variant>
      <vt:variant>
        <vt:i4>378</vt:i4>
      </vt:variant>
      <vt:variant>
        <vt:i4>0</vt:i4>
      </vt:variant>
      <vt:variant>
        <vt:i4>5</vt:i4>
      </vt:variant>
      <vt:variant>
        <vt:lpwstr>https://dhhs.smartygrants.com.au/rhif2025-26acchos</vt:lpwstr>
      </vt:variant>
      <vt:variant>
        <vt:lpwstr/>
      </vt:variant>
      <vt:variant>
        <vt:i4>8060967</vt:i4>
      </vt:variant>
      <vt:variant>
        <vt:i4>372</vt:i4>
      </vt:variant>
      <vt:variant>
        <vt:i4>0</vt:i4>
      </vt:variant>
      <vt:variant>
        <vt:i4>5</vt:i4>
      </vt:variant>
      <vt:variant>
        <vt:lpwstr>https://www.dtf.vic.gov.au/infrastructure-investment/asset-management-accountability-framework</vt:lpwstr>
      </vt:variant>
      <vt:variant>
        <vt:lpwstr/>
      </vt:variant>
      <vt:variant>
        <vt:i4>262162</vt:i4>
      </vt:variant>
      <vt:variant>
        <vt:i4>369</vt:i4>
      </vt:variant>
      <vt:variant>
        <vt:i4>0</vt:i4>
      </vt:variant>
      <vt:variant>
        <vt:i4>5</vt:i4>
      </vt:variant>
      <vt:variant>
        <vt:lpwstr>https://dhhs.smartygrants.com.au/rhif2025-26</vt:lpwstr>
      </vt:variant>
      <vt:variant>
        <vt:lpwstr/>
      </vt:variant>
      <vt:variant>
        <vt:i4>1376304</vt:i4>
      </vt:variant>
      <vt:variant>
        <vt:i4>362</vt:i4>
      </vt:variant>
      <vt:variant>
        <vt:i4>0</vt:i4>
      </vt:variant>
      <vt:variant>
        <vt:i4>5</vt:i4>
      </vt:variant>
      <vt:variant>
        <vt:lpwstr/>
      </vt:variant>
      <vt:variant>
        <vt:lpwstr>_Toc217405524</vt:lpwstr>
      </vt:variant>
      <vt:variant>
        <vt:i4>1376304</vt:i4>
      </vt:variant>
      <vt:variant>
        <vt:i4>356</vt:i4>
      </vt:variant>
      <vt:variant>
        <vt:i4>0</vt:i4>
      </vt:variant>
      <vt:variant>
        <vt:i4>5</vt:i4>
      </vt:variant>
      <vt:variant>
        <vt:lpwstr/>
      </vt:variant>
      <vt:variant>
        <vt:lpwstr>_Toc217405523</vt:lpwstr>
      </vt:variant>
      <vt:variant>
        <vt:i4>1376304</vt:i4>
      </vt:variant>
      <vt:variant>
        <vt:i4>350</vt:i4>
      </vt:variant>
      <vt:variant>
        <vt:i4>0</vt:i4>
      </vt:variant>
      <vt:variant>
        <vt:i4>5</vt:i4>
      </vt:variant>
      <vt:variant>
        <vt:lpwstr/>
      </vt:variant>
      <vt:variant>
        <vt:lpwstr>_Toc217405522</vt:lpwstr>
      </vt:variant>
      <vt:variant>
        <vt:i4>1376304</vt:i4>
      </vt:variant>
      <vt:variant>
        <vt:i4>344</vt:i4>
      </vt:variant>
      <vt:variant>
        <vt:i4>0</vt:i4>
      </vt:variant>
      <vt:variant>
        <vt:i4>5</vt:i4>
      </vt:variant>
      <vt:variant>
        <vt:lpwstr/>
      </vt:variant>
      <vt:variant>
        <vt:lpwstr>_Toc217405521</vt:lpwstr>
      </vt:variant>
      <vt:variant>
        <vt:i4>1376304</vt:i4>
      </vt:variant>
      <vt:variant>
        <vt:i4>338</vt:i4>
      </vt:variant>
      <vt:variant>
        <vt:i4>0</vt:i4>
      </vt:variant>
      <vt:variant>
        <vt:i4>5</vt:i4>
      </vt:variant>
      <vt:variant>
        <vt:lpwstr/>
      </vt:variant>
      <vt:variant>
        <vt:lpwstr>_Toc217405520</vt:lpwstr>
      </vt:variant>
      <vt:variant>
        <vt:i4>1441840</vt:i4>
      </vt:variant>
      <vt:variant>
        <vt:i4>332</vt:i4>
      </vt:variant>
      <vt:variant>
        <vt:i4>0</vt:i4>
      </vt:variant>
      <vt:variant>
        <vt:i4>5</vt:i4>
      </vt:variant>
      <vt:variant>
        <vt:lpwstr/>
      </vt:variant>
      <vt:variant>
        <vt:lpwstr>_Toc217405519</vt:lpwstr>
      </vt:variant>
      <vt:variant>
        <vt:i4>1441840</vt:i4>
      </vt:variant>
      <vt:variant>
        <vt:i4>326</vt:i4>
      </vt:variant>
      <vt:variant>
        <vt:i4>0</vt:i4>
      </vt:variant>
      <vt:variant>
        <vt:i4>5</vt:i4>
      </vt:variant>
      <vt:variant>
        <vt:lpwstr/>
      </vt:variant>
      <vt:variant>
        <vt:lpwstr>_Toc217405518</vt:lpwstr>
      </vt:variant>
      <vt:variant>
        <vt:i4>1441840</vt:i4>
      </vt:variant>
      <vt:variant>
        <vt:i4>320</vt:i4>
      </vt:variant>
      <vt:variant>
        <vt:i4>0</vt:i4>
      </vt:variant>
      <vt:variant>
        <vt:i4>5</vt:i4>
      </vt:variant>
      <vt:variant>
        <vt:lpwstr/>
      </vt:variant>
      <vt:variant>
        <vt:lpwstr>_Toc217405517</vt:lpwstr>
      </vt:variant>
      <vt:variant>
        <vt:i4>1441840</vt:i4>
      </vt:variant>
      <vt:variant>
        <vt:i4>314</vt:i4>
      </vt:variant>
      <vt:variant>
        <vt:i4>0</vt:i4>
      </vt:variant>
      <vt:variant>
        <vt:i4>5</vt:i4>
      </vt:variant>
      <vt:variant>
        <vt:lpwstr/>
      </vt:variant>
      <vt:variant>
        <vt:lpwstr>_Toc217405516</vt:lpwstr>
      </vt:variant>
      <vt:variant>
        <vt:i4>1441840</vt:i4>
      </vt:variant>
      <vt:variant>
        <vt:i4>308</vt:i4>
      </vt:variant>
      <vt:variant>
        <vt:i4>0</vt:i4>
      </vt:variant>
      <vt:variant>
        <vt:i4>5</vt:i4>
      </vt:variant>
      <vt:variant>
        <vt:lpwstr/>
      </vt:variant>
      <vt:variant>
        <vt:lpwstr>_Toc217405515</vt:lpwstr>
      </vt:variant>
      <vt:variant>
        <vt:i4>1441840</vt:i4>
      </vt:variant>
      <vt:variant>
        <vt:i4>302</vt:i4>
      </vt:variant>
      <vt:variant>
        <vt:i4>0</vt:i4>
      </vt:variant>
      <vt:variant>
        <vt:i4>5</vt:i4>
      </vt:variant>
      <vt:variant>
        <vt:lpwstr/>
      </vt:variant>
      <vt:variant>
        <vt:lpwstr>_Toc217405514</vt:lpwstr>
      </vt:variant>
      <vt:variant>
        <vt:i4>1441840</vt:i4>
      </vt:variant>
      <vt:variant>
        <vt:i4>296</vt:i4>
      </vt:variant>
      <vt:variant>
        <vt:i4>0</vt:i4>
      </vt:variant>
      <vt:variant>
        <vt:i4>5</vt:i4>
      </vt:variant>
      <vt:variant>
        <vt:lpwstr/>
      </vt:variant>
      <vt:variant>
        <vt:lpwstr>_Toc217405513</vt:lpwstr>
      </vt:variant>
      <vt:variant>
        <vt:i4>1441840</vt:i4>
      </vt:variant>
      <vt:variant>
        <vt:i4>290</vt:i4>
      </vt:variant>
      <vt:variant>
        <vt:i4>0</vt:i4>
      </vt:variant>
      <vt:variant>
        <vt:i4>5</vt:i4>
      </vt:variant>
      <vt:variant>
        <vt:lpwstr/>
      </vt:variant>
      <vt:variant>
        <vt:lpwstr>_Toc217405512</vt:lpwstr>
      </vt:variant>
      <vt:variant>
        <vt:i4>1441840</vt:i4>
      </vt:variant>
      <vt:variant>
        <vt:i4>284</vt:i4>
      </vt:variant>
      <vt:variant>
        <vt:i4>0</vt:i4>
      </vt:variant>
      <vt:variant>
        <vt:i4>5</vt:i4>
      </vt:variant>
      <vt:variant>
        <vt:lpwstr/>
      </vt:variant>
      <vt:variant>
        <vt:lpwstr>_Toc217405511</vt:lpwstr>
      </vt:variant>
      <vt:variant>
        <vt:i4>1441840</vt:i4>
      </vt:variant>
      <vt:variant>
        <vt:i4>278</vt:i4>
      </vt:variant>
      <vt:variant>
        <vt:i4>0</vt:i4>
      </vt:variant>
      <vt:variant>
        <vt:i4>5</vt:i4>
      </vt:variant>
      <vt:variant>
        <vt:lpwstr/>
      </vt:variant>
      <vt:variant>
        <vt:lpwstr>_Toc217405510</vt:lpwstr>
      </vt:variant>
      <vt:variant>
        <vt:i4>1507376</vt:i4>
      </vt:variant>
      <vt:variant>
        <vt:i4>272</vt:i4>
      </vt:variant>
      <vt:variant>
        <vt:i4>0</vt:i4>
      </vt:variant>
      <vt:variant>
        <vt:i4>5</vt:i4>
      </vt:variant>
      <vt:variant>
        <vt:lpwstr/>
      </vt:variant>
      <vt:variant>
        <vt:lpwstr>_Toc217405509</vt:lpwstr>
      </vt:variant>
      <vt:variant>
        <vt:i4>1507376</vt:i4>
      </vt:variant>
      <vt:variant>
        <vt:i4>266</vt:i4>
      </vt:variant>
      <vt:variant>
        <vt:i4>0</vt:i4>
      </vt:variant>
      <vt:variant>
        <vt:i4>5</vt:i4>
      </vt:variant>
      <vt:variant>
        <vt:lpwstr/>
      </vt:variant>
      <vt:variant>
        <vt:lpwstr>_Toc217405508</vt:lpwstr>
      </vt:variant>
      <vt:variant>
        <vt:i4>1507376</vt:i4>
      </vt:variant>
      <vt:variant>
        <vt:i4>260</vt:i4>
      </vt:variant>
      <vt:variant>
        <vt:i4>0</vt:i4>
      </vt:variant>
      <vt:variant>
        <vt:i4>5</vt:i4>
      </vt:variant>
      <vt:variant>
        <vt:lpwstr/>
      </vt:variant>
      <vt:variant>
        <vt:lpwstr>_Toc217405507</vt:lpwstr>
      </vt:variant>
      <vt:variant>
        <vt:i4>1507376</vt:i4>
      </vt:variant>
      <vt:variant>
        <vt:i4>254</vt:i4>
      </vt:variant>
      <vt:variant>
        <vt:i4>0</vt:i4>
      </vt:variant>
      <vt:variant>
        <vt:i4>5</vt:i4>
      </vt:variant>
      <vt:variant>
        <vt:lpwstr/>
      </vt:variant>
      <vt:variant>
        <vt:lpwstr>_Toc217405506</vt:lpwstr>
      </vt:variant>
      <vt:variant>
        <vt:i4>1507376</vt:i4>
      </vt:variant>
      <vt:variant>
        <vt:i4>248</vt:i4>
      </vt:variant>
      <vt:variant>
        <vt:i4>0</vt:i4>
      </vt:variant>
      <vt:variant>
        <vt:i4>5</vt:i4>
      </vt:variant>
      <vt:variant>
        <vt:lpwstr/>
      </vt:variant>
      <vt:variant>
        <vt:lpwstr>_Toc217405505</vt:lpwstr>
      </vt:variant>
      <vt:variant>
        <vt:i4>1507376</vt:i4>
      </vt:variant>
      <vt:variant>
        <vt:i4>242</vt:i4>
      </vt:variant>
      <vt:variant>
        <vt:i4>0</vt:i4>
      </vt:variant>
      <vt:variant>
        <vt:i4>5</vt:i4>
      </vt:variant>
      <vt:variant>
        <vt:lpwstr/>
      </vt:variant>
      <vt:variant>
        <vt:lpwstr>_Toc217405504</vt:lpwstr>
      </vt:variant>
      <vt:variant>
        <vt:i4>1507376</vt:i4>
      </vt:variant>
      <vt:variant>
        <vt:i4>236</vt:i4>
      </vt:variant>
      <vt:variant>
        <vt:i4>0</vt:i4>
      </vt:variant>
      <vt:variant>
        <vt:i4>5</vt:i4>
      </vt:variant>
      <vt:variant>
        <vt:lpwstr/>
      </vt:variant>
      <vt:variant>
        <vt:lpwstr>_Toc217405503</vt:lpwstr>
      </vt:variant>
      <vt:variant>
        <vt:i4>1507376</vt:i4>
      </vt:variant>
      <vt:variant>
        <vt:i4>230</vt:i4>
      </vt:variant>
      <vt:variant>
        <vt:i4>0</vt:i4>
      </vt:variant>
      <vt:variant>
        <vt:i4>5</vt:i4>
      </vt:variant>
      <vt:variant>
        <vt:lpwstr/>
      </vt:variant>
      <vt:variant>
        <vt:lpwstr>_Toc217405502</vt:lpwstr>
      </vt:variant>
      <vt:variant>
        <vt:i4>1507376</vt:i4>
      </vt:variant>
      <vt:variant>
        <vt:i4>224</vt:i4>
      </vt:variant>
      <vt:variant>
        <vt:i4>0</vt:i4>
      </vt:variant>
      <vt:variant>
        <vt:i4>5</vt:i4>
      </vt:variant>
      <vt:variant>
        <vt:lpwstr/>
      </vt:variant>
      <vt:variant>
        <vt:lpwstr>_Toc217405501</vt:lpwstr>
      </vt:variant>
      <vt:variant>
        <vt:i4>1507376</vt:i4>
      </vt:variant>
      <vt:variant>
        <vt:i4>218</vt:i4>
      </vt:variant>
      <vt:variant>
        <vt:i4>0</vt:i4>
      </vt:variant>
      <vt:variant>
        <vt:i4>5</vt:i4>
      </vt:variant>
      <vt:variant>
        <vt:lpwstr/>
      </vt:variant>
      <vt:variant>
        <vt:lpwstr>_Toc217405500</vt:lpwstr>
      </vt:variant>
      <vt:variant>
        <vt:i4>1966129</vt:i4>
      </vt:variant>
      <vt:variant>
        <vt:i4>212</vt:i4>
      </vt:variant>
      <vt:variant>
        <vt:i4>0</vt:i4>
      </vt:variant>
      <vt:variant>
        <vt:i4>5</vt:i4>
      </vt:variant>
      <vt:variant>
        <vt:lpwstr/>
      </vt:variant>
      <vt:variant>
        <vt:lpwstr>_Toc217405499</vt:lpwstr>
      </vt:variant>
      <vt:variant>
        <vt:i4>1966129</vt:i4>
      </vt:variant>
      <vt:variant>
        <vt:i4>206</vt:i4>
      </vt:variant>
      <vt:variant>
        <vt:i4>0</vt:i4>
      </vt:variant>
      <vt:variant>
        <vt:i4>5</vt:i4>
      </vt:variant>
      <vt:variant>
        <vt:lpwstr/>
      </vt:variant>
      <vt:variant>
        <vt:lpwstr>_Toc217405498</vt:lpwstr>
      </vt:variant>
      <vt:variant>
        <vt:i4>1966129</vt:i4>
      </vt:variant>
      <vt:variant>
        <vt:i4>200</vt:i4>
      </vt:variant>
      <vt:variant>
        <vt:i4>0</vt:i4>
      </vt:variant>
      <vt:variant>
        <vt:i4>5</vt:i4>
      </vt:variant>
      <vt:variant>
        <vt:lpwstr/>
      </vt:variant>
      <vt:variant>
        <vt:lpwstr>_Toc217405497</vt:lpwstr>
      </vt:variant>
      <vt:variant>
        <vt:i4>1966129</vt:i4>
      </vt:variant>
      <vt:variant>
        <vt:i4>194</vt:i4>
      </vt:variant>
      <vt:variant>
        <vt:i4>0</vt:i4>
      </vt:variant>
      <vt:variant>
        <vt:i4>5</vt:i4>
      </vt:variant>
      <vt:variant>
        <vt:lpwstr/>
      </vt:variant>
      <vt:variant>
        <vt:lpwstr>_Toc217405496</vt:lpwstr>
      </vt:variant>
      <vt:variant>
        <vt:i4>1966129</vt:i4>
      </vt:variant>
      <vt:variant>
        <vt:i4>188</vt:i4>
      </vt:variant>
      <vt:variant>
        <vt:i4>0</vt:i4>
      </vt:variant>
      <vt:variant>
        <vt:i4>5</vt:i4>
      </vt:variant>
      <vt:variant>
        <vt:lpwstr/>
      </vt:variant>
      <vt:variant>
        <vt:lpwstr>_Toc217405495</vt:lpwstr>
      </vt:variant>
      <vt:variant>
        <vt:i4>1966129</vt:i4>
      </vt:variant>
      <vt:variant>
        <vt:i4>182</vt:i4>
      </vt:variant>
      <vt:variant>
        <vt:i4>0</vt:i4>
      </vt:variant>
      <vt:variant>
        <vt:i4>5</vt:i4>
      </vt:variant>
      <vt:variant>
        <vt:lpwstr/>
      </vt:variant>
      <vt:variant>
        <vt:lpwstr>_Toc217405494</vt:lpwstr>
      </vt:variant>
      <vt:variant>
        <vt:i4>1966129</vt:i4>
      </vt:variant>
      <vt:variant>
        <vt:i4>176</vt:i4>
      </vt:variant>
      <vt:variant>
        <vt:i4>0</vt:i4>
      </vt:variant>
      <vt:variant>
        <vt:i4>5</vt:i4>
      </vt:variant>
      <vt:variant>
        <vt:lpwstr/>
      </vt:variant>
      <vt:variant>
        <vt:lpwstr>_Toc217405493</vt:lpwstr>
      </vt:variant>
      <vt:variant>
        <vt:i4>1966129</vt:i4>
      </vt:variant>
      <vt:variant>
        <vt:i4>170</vt:i4>
      </vt:variant>
      <vt:variant>
        <vt:i4>0</vt:i4>
      </vt:variant>
      <vt:variant>
        <vt:i4>5</vt:i4>
      </vt:variant>
      <vt:variant>
        <vt:lpwstr/>
      </vt:variant>
      <vt:variant>
        <vt:lpwstr>_Toc217405492</vt:lpwstr>
      </vt:variant>
      <vt:variant>
        <vt:i4>1966129</vt:i4>
      </vt:variant>
      <vt:variant>
        <vt:i4>164</vt:i4>
      </vt:variant>
      <vt:variant>
        <vt:i4>0</vt:i4>
      </vt:variant>
      <vt:variant>
        <vt:i4>5</vt:i4>
      </vt:variant>
      <vt:variant>
        <vt:lpwstr/>
      </vt:variant>
      <vt:variant>
        <vt:lpwstr>_Toc217405491</vt:lpwstr>
      </vt:variant>
      <vt:variant>
        <vt:i4>1966129</vt:i4>
      </vt:variant>
      <vt:variant>
        <vt:i4>158</vt:i4>
      </vt:variant>
      <vt:variant>
        <vt:i4>0</vt:i4>
      </vt:variant>
      <vt:variant>
        <vt:i4>5</vt:i4>
      </vt:variant>
      <vt:variant>
        <vt:lpwstr/>
      </vt:variant>
      <vt:variant>
        <vt:lpwstr>_Toc217405490</vt:lpwstr>
      </vt:variant>
      <vt:variant>
        <vt:i4>2031665</vt:i4>
      </vt:variant>
      <vt:variant>
        <vt:i4>152</vt:i4>
      </vt:variant>
      <vt:variant>
        <vt:i4>0</vt:i4>
      </vt:variant>
      <vt:variant>
        <vt:i4>5</vt:i4>
      </vt:variant>
      <vt:variant>
        <vt:lpwstr/>
      </vt:variant>
      <vt:variant>
        <vt:lpwstr>_Toc217405489</vt:lpwstr>
      </vt:variant>
      <vt:variant>
        <vt:i4>2031665</vt:i4>
      </vt:variant>
      <vt:variant>
        <vt:i4>146</vt:i4>
      </vt:variant>
      <vt:variant>
        <vt:i4>0</vt:i4>
      </vt:variant>
      <vt:variant>
        <vt:i4>5</vt:i4>
      </vt:variant>
      <vt:variant>
        <vt:lpwstr/>
      </vt:variant>
      <vt:variant>
        <vt:lpwstr>_Toc217405488</vt:lpwstr>
      </vt:variant>
      <vt:variant>
        <vt:i4>2031665</vt:i4>
      </vt:variant>
      <vt:variant>
        <vt:i4>140</vt:i4>
      </vt:variant>
      <vt:variant>
        <vt:i4>0</vt:i4>
      </vt:variant>
      <vt:variant>
        <vt:i4>5</vt:i4>
      </vt:variant>
      <vt:variant>
        <vt:lpwstr/>
      </vt:variant>
      <vt:variant>
        <vt:lpwstr>_Toc217405487</vt:lpwstr>
      </vt:variant>
      <vt:variant>
        <vt:i4>2031665</vt:i4>
      </vt:variant>
      <vt:variant>
        <vt:i4>134</vt:i4>
      </vt:variant>
      <vt:variant>
        <vt:i4>0</vt:i4>
      </vt:variant>
      <vt:variant>
        <vt:i4>5</vt:i4>
      </vt:variant>
      <vt:variant>
        <vt:lpwstr/>
      </vt:variant>
      <vt:variant>
        <vt:lpwstr>_Toc217405486</vt:lpwstr>
      </vt:variant>
      <vt:variant>
        <vt:i4>2031665</vt:i4>
      </vt:variant>
      <vt:variant>
        <vt:i4>128</vt:i4>
      </vt:variant>
      <vt:variant>
        <vt:i4>0</vt:i4>
      </vt:variant>
      <vt:variant>
        <vt:i4>5</vt:i4>
      </vt:variant>
      <vt:variant>
        <vt:lpwstr/>
      </vt:variant>
      <vt:variant>
        <vt:lpwstr>_Toc217405485</vt:lpwstr>
      </vt:variant>
      <vt:variant>
        <vt:i4>2031665</vt:i4>
      </vt:variant>
      <vt:variant>
        <vt:i4>122</vt:i4>
      </vt:variant>
      <vt:variant>
        <vt:i4>0</vt:i4>
      </vt:variant>
      <vt:variant>
        <vt:i4>5</vt:i4>
      </vt:variant>
      <vt:variant>
        <vt:lpwstr/>
      </vt:variant>
      <vt:variant>
        <vt:lpwstr>_Toc217405484</vt:lpwstr>
      </vt:variant>
      <vt:variant>
        <vt:i4>2031665</vt:i4>
      </vt:variant>
      <vt:variant>
        <vt:i4>116</vt:i4>
      </vt:variant>
      <vt:variant>
        <vt:i4>0</vt:i4>
      </vt:variant>
      <vt:variant>
        <vt:i4>5</vt:i4>
      </vt:variant>
      <vt:variant>
        <vt:lpwstr/>
      </vt:variant>
      <vt:variant>
        <vt:lpwstr>_Toc217405483</vt:lpwstr>
      </vt:variant>
      <vt:variant>
        <vt:i4>2031665</vt:i4>
      </vt:variant>
      <vt:variant>
        <vt:i4>110</vt:i4>
      </vt:variant>
      <vt:variant>
        <vt:i4>0</vt:i4>
      </vt:variant>
      <vt:variant>
        <vt:i4>5</vt:i4>
      </vt:variant>
      <vt:variant>
        <vt:lpwstr/>
      </vt:variant>
      <vt:variant>
        <vt:lpwstr>_Toc217405482</vt:lpwstr>
      </vt:variant>
      <vt:variant>
        <vt:i4>2031665</vt:i4>
      </vt:variant>
      <vt:variant>
        <vt:i4>104</vt:i4>
      </vt:variant>
      <vt:variant>
        <vt:i4>0</vt:i4>
      </vt:variant>
      <vt:variant>
        <vt:i4>5</vt:i4>
      </vt:variant>
      <vt:variant>
        <vt:lpwstr/>
      </vt:variant>
      <vt:variant>
        <vt:lpwstr>_Toc217405481</vt:lpwstr>
      </vt:variant>
      <vt:variant>
        <vt:i4>2031665</vt:i4>
      </vt:variant>
      <vt:variant>
        <vt:i4>98</vt:i4>
      </vt:variant>
      <vt:variant>
        <vt:i4>0</vt:i4>
      </vt:variant>
      <vt:variant>
        <vt:i4>5</vt:i4>
      </vt:variant>
      <vt:variant>
        <vt:lpwstr/>
      </vt:variant>
      <vt:variant>
        <vt:lpwstr>_Toc217405480</vt:lpwstr>
      </vt:variant>
      <vt:variant>
        <vt:i4>1048625</vt:i4>
      </vt:variant>
      <vt:variant>
        <vt:i4>92</vt:i4>
      </vt:variant>
      <vt:variant>
        <vt:i4>0</vt:i4>
      </vt:variant>
      <vt:variant>
        <vt:i4>5</vt:i4>
      </vt:variant>
      <vt:variant>
        <vt:lpwstr/>
      </vt:variant>
      <vt:variant>
        <vt:lpwstr>_Toc217405479</vt:lpwstr>
      </vt:variant>
      <vt:variant>
        <vt:i4>1048625</vt:i4>
      </vt:variant>
      <vt:variant>
        <vt:i4>86</vt:i4>
      </vt:variant>
      <vt:variant>
        <vt:i4>0</vt:i4>
      </vt:variant>
      <vt:variant>
        <vt:i4>5</vt:i4>
      </vt:variant>
      <vt:variant>
        <vt:lpwstr/>
      </vt:variant>
      <vt:variant>
        <vt:lpwstr>_Toc217405478</vt:lpwstr>
      </vt:variant>
      <vt:variant>
        <vt:i4>1048625</vt:i4>
      </vt:variant>
      <vt:variant>
        <vt:i4>80</vt:i4>
      </vt:variant>
      <vt:variant>
        <vt:i4>0</vt:i4>
      </vt:variant>
      <vt:variant>
        <vt:i4>5</vt:i4>
      </vt:variant>
      <vt:variant>
        <vt:lpwstr/>
      </vt:variant>
      <vt:variant>
        <vt:lpwstr>_Toc217405477</vt:lpwstr>
      </vt:variant>
      <vt:variant>
        <vt:i4>1048625</vt:i4>
      </vt:variant>
      <vt:variant>
        <vt:i4>74</vt:i4>
      </vt:variant>
      <vt:variant>
        <vt:i4>0</vt:i4>
      </vt:variant>
      <vt:variant>
        <vt:i4>5</vt:i4>
      </vt:variant>
      <vt:variant>
        <vt:lpwstr/>
      </vt:variant>
      <vt:variant>
        <vt:lpwstr>_Toc217405476</vt:lpwstr>
      </vt:variant>
      <vt:variant>
        <vt:i4>1048625</vt:i4>
      </vt:variant>
      <vt:variant>
        <vt:i4>68</vt:i4>
      </vt:variant>
      <vt:variant>
        <vt:i4>0</vt:i4>
      </vt:variant>
      <vt:variant>
        <vt:i4>5</vt:i4>
      </vt:variant>
      <vt:variant>
        <vt:lpwstr/>
      </vt:variant>
      <vt:variant>
        <vt:lpwstr>_Toc217405475</vt:lpwstr>
      </vt:variant>
      <vt:variant>
        <vt:i4>1048625</vt:i4>
      </vt:variant>
      <vt:variant>
        <vt:i4>62</vt:i4>
      </vt:variant>
      <vt:variant>
        <vt:i4>0</vt:i4>
      </vt:variant>
      <vt:variant>
        <vt:i4>5</vt:i4>
      </vt:variant>
      <vt:variant>
        <vt:lpwstr/>
      </vt:variant>
      <vt:variant>
        <vt:lpwstr>_Toc217405474</vt:lpwstr>
      </vt:variant>
      <vt:variant>
        <vt:i4>1048625</vt:i4>
      </vt:variant>
      <vt:variant>
        <vt:i4>56</vt:i4>
      </vt:variant>
      <vt:variant>
        <vt:i4>0</vt:i4>
      </vt:variant>
      <vt:variant>
        <vt:i4>5</vt:i4>
      </vt:variant>
      <vt:variant>
        <vt:lpwstr/>
      </vt:variant>
      <vt:variant>
        <vt:lpwstr>_Toc217405473</vt:lpwstr>
      </vt:variant>
      <vt:variant>
        <vt:i4>1048625</vt:i4>
      </vt:variant>
      <vt:variant>
        <vt:i4>50</vt:i4>
      </vt:variant>
      <vt:variant>
        <vt:i4>0</vt:i4>
      </vt:variant>
      <vt:variant>
        <vt:i4>5</vt:i4>
      </vt:variant>
      <vt:variant>
        <vt:lpwstr/>
      </vt:variant>
      <vt:variant>
        <vt:lpwstr>_Toc217405472</vt:lpwstr>
      </vt:variant>
      <vt:variant>
        <vt:i4>1048625</vt:i4>
      </vt:variant>
      <vt:variant>
        <vt:i4>44</vt:i4>
      </vt:variant>
      <vt:variant>
        <vt:i4>0</vt:i4>
      </vt:variant>
      <vt:variant>
        <vt:i4>5</vt:i4>
      </vt:variant>
      <vt:variant>
        <vt:lpwstr/>
      </vt:variant>
      <vt:variant>
        <vt:lpwstr>_Toc217405471</vt:lpwstr>
      </vt:variant>
      <vt:variant>
        <vt:i4>1048625</vt:i4>
      </vt:variant>
      <vt:variant>
        <vt:i4>38</vt:i4>
      </vt:variant>
      <vt:variant>
        <vt:i4>0</vt:i4>
      </vt:variant>
      <vt:variant>
        <vt:i4>5</vt:i4>
      </vt:variant>
      <vt:variant>
        <vt:lpwstr/>
      </vt:variant>
      <vt:variant>
        <vt:lpwstr>_Toc217405470</vt:lpwstr>
      </vt:variant>
      <vt:variant>
        <vt:i4>1114161</vt:i4>
      </vt:variant>
      <vt:variant>
        <vt:i4>32</vt:i4>
      </vt:variant>
      <vt:variant>
        <vt:i4>0</vt:i4>
      </vt:variant>
      <vt:variant>
        <vt:i4>5</vt:i4>
      </vt:variant>
      <vt:variant>
        <vt:lpwstr/>
      </vt:variant>
      <vt:variant>
        <vt:lpwstr>_Toc217405469</vt:lpwstr>
      </vt:variant>
      <vt:variant>
        <vt:i4>1114161</vt:i4>
      </vt:variant>
      <vt:variant>
        <vt:i4>26</vt:i4>
      </vt:variant>
      <vt:variant>
        <vt:i4>0</vt:i4>
      </vt:variant>
      <vt:variant>
        <vt:i4>5</vt:i4>
      </vt:variant>
      <vt:variant>
        <vt:lpwstr/>
      </vt:variant>
      <vt:variant>
        <vt:lpwstr>_Toc217405468</vt:lpwstr>
      </vt:variant>
      <vt:variant>
        <vt:i4>1114161</vt:i4>
      </vt:variant>
      <vt:variant>
        <vt:i4>20</vt:i4>
      </vt:variant>
      <vt:variant>
        <vt:i4>0</vt:i4>
      </vt:variant>
      <vt:variant>
        <vt:i4>5</vt:i4>
      </vt:variant>
      <vt:variant>
        <vt:lpwstr/>
      </vt:variant>
      <vt:variant>
        <vt:lpwstr>_Toc217405467</vt:lpwstr>
      </vt:variant>
      <vt:variant>
        <vt:i4>1114161</vt:i4>
      </vt:variant>
      <vt:variant>
        <vt:i4>14</vt:i4>
      </vt:variant>
      <vt:variant>
        <vt:i4>0</vt:i4>
      </vt:variant>
      <vt:variant>
        <vt:i4>5</vt:i4>
      </vt:variant>
      <vt:variant>
        <vt:lpwstr/>
      </vt:variant>
      <vt:variant>
        <vt:lpwstr>_Toc217405466</vt:lpwstr>
      </vt:variant>
      <vt:variant>
        <vt:i4>1114161</vt:i4>
      </vt:variant>
      <vt:variant>
        <vt:i4>8</vt:i4>
      </vt:variant>
      <vt:variant>
        <vt:i4>0</vt:i4>
      </vt:variant>
      <vt:variant>
        <vt:i4>5</vt:i4>
      </vt:variant>
      <vt:variant>
        <vt:lpwstr/>
      </vt:variant>
      <vt:variant>
        <vt:lpwstr>_Toc217405465</vt:lpwstr>
      </vt:variant>
      <vt:variant>
        <vt:i4>1114161</vt:i4>
      </vt:variant>
      <vt:variant>
        <vt:i4>2</vt:i4>
      </vt:variant>
      <vt:variant>
        <vt:i4>0</vt:i4>
      </vt:variant>
      <vt:variant>
        <vt:i4>5</vt:i4>
      </vt:variant>
      <vt:variant>
        <vt:lpwstr/>
      </vt:variant>
      <vt:variant>
        <vt:lpwstr>_Toc217405464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J Firth (VIDA)</dc:creator>
  <cp:keywords/>
  <dc:description/>
  <cp:lastModifiedBy>Bonnie T Ho (VIDA)</cp:lastModifiedBy>
  <cp:revision>2</cp:revision>
  <dcterms:created xsi:type="dcterms:W3CDTF">2026-04-16T04:42:00Z</dcterms:created>
  <dcterms:modified xsi:type="dcterms:W3CDTF">2026-04-16T04:42:00Z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0x010100E3067D2FB219704E8815D3773863F59F</vt:lpwstr>
  </property>
  <property fmtid="{D5CDD505-2E9C-101B-9397-08002B2CF9AE}" pid="3" name="MediaServiceImageTags">
    <vt:lpwstr/>
  </property>
</Properties>
</file>